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F11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b/>
          <w:bCs/>
          <w:color w:val="A3181D"/>
          <w:sz w:val="44"/>
          <w:szCs w:val="44"/>
          <w:highlight w:val="none"/>
          <w:lang w:val="en-US"/>
        </w:rPr>
      </w:pPr>
      <w:bookmarkStart w:id="0" w:name="_GoBack"/>
      <w:bookmarkEnd w:id="0"/>
      <w:r>
        <w:rPr>
          <w:rFonts w:hint="eastAsia" w:ascii="微软雅黑" w:hAnsi="微软雅黑" w:eastAsia="微软雅黑" w:cs="微软雅黑"/>
          <w:b/>
          <w:bCs/>
          <w:color w:val="A3181D"/>
          <w:sz w:val="44"/>
          <w:szCs w:val="44"/>
          <w:highlight w:val="none"/>
          <w:lang w:val="en-US"/>
        </w:rPr>
        <w:t>山西师范大学202</w:t>
      </w:r>
      <w:r>
        <w:rPr>
          <w:rFonts w:hint="eastAsia" w:ascii="微软雅黑" w:hAnsi="微软雅黑" w:eastAsia="微软雅黑" w:cs="微软雅黑"/>
          <w:b/>
          <w:bCs/>
          <w:color w:val="A3181D"/>
          <w:sz w:val="44"/>
          <w:szCs w:val="44"/>
          <w:highlight w:val="none"/>
          <w:lang w:val="en-US" w:eastAsia="zh-CN"/>
        </w:rPr>
        <w:t>5</w:t>
      </w:r>
      <w:r>
        <w:rPr>
          <w:rFonts w:hint="eastAsia" w:ascii="微软雅黑" w:hAnsi="微软雅黑" w:eastAsia="微软雅黑" w:cs="微软雅黑"/>
          <w:b/>
          <w:bCs/>
          <w:color w:val="A3181D"/>
          <w:sz w:val="44"/>
          <w:szCs w:val="44"/>
          <w:highlight w:val="none"/>
          <w:lang w:val="en-US"/>
        </w:rPr>
        <w:t>年</w:t>
      </w:r>
    </w:p>
    <w:p w14:paraId="53E760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b/>
          <w:bCs/>
          <w:color w:val="A3181D"/>
          <w:sz w:val="44"/>
          <w:szCs w:val="44"/>
          <w:highlight w:val="none"/>
          <w:lang w:val="en-US"/>
        </w:rPr>
      </w:pPr>
      <w:r>
        <w:rPr>
          <w:rFonts w:hint="eastAsia" w:ascii="微软雅黑" w:hAnsi="微软雅黑" w:eastAsia="微软雅黑" w:cs="微软雅黑"/>
          <w:b/>
          <w:bCs/>
          <w:color w:val="A3181D"/>
          <w:sz w:val="44"/>
          <w:szCs w:val="44"/>
          <w:highlight w:val="none"/>
          <w:lang w:val="en-US"/>
        </w:rPr>
        <w:t>同等学力申请硕士学位招生简章</w:t>
      </w:r>
    </w:p>
    <w:p w14:paraId="1A6A1B79">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both"/>
        <w:textAlignment w:val="auto"/>
        <w:rPr>
          <w:rFonts w:hint="eastAsia" w:ascii="微软雅黑" w:hAnsi="微软雅黑" w:eastAsia="微软雅黑" w:cs="微软雅黑"/>
          <w:b/>
          <w:bCs/>
          <w:color w:val="A3181D"/>
          <w:sz w:val="32"/>
          <w:szCs w:val="32"/>
          <w:highlight w:val="none"/>
          <w:lang w:val="en-US"/>
        </w:rPr>
      </w:pPr>
      <w:r>
        <w:rPr>
          <w:rFonts w:hint="eastAsia" w:ascii="微软雅黑" w:hAnsi="微软雅黑" w:eastAsia="微软雅黑" w:cs="微软雅黑"/>
          <w:b/>
          <w:bCs/>
          <w:color w:val="A3181D"/>
          <w:sz w:val="32"/>
          <w:szCs w:val="32"/>
          <w:highlight w:val="none"/>
          <w:lang w:val="en-US"/>
        </w:rPr>
        <w:t>一、学校简介</w:t>
      </w:r>
    </w:p>
    <w:p w14:paraId="057EFBBD">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000000" w:themeColor="text1"/>
          <w:sz w:val="28"/>
          <w:szCs w:val="28"/>
          <w:highlight w:val="none"/>
          <w:shd w:val="clear" w:color="auto" w:fill="FFFFFF"/>
          <w14:textFill>
            <w14:solidFill>
              <w14:schemeClr w14:val="tx1"/>
            </w14:solidFill>
          </w14:textFill>
        </w:rPr>
      </w:pP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山西师范大学创建于1958年，前身是晋南师范专科学校，1964年升格为山西师范学院，1984年更名为山西师范大学，1990年成为硕士学位授权单位，1999年山西省职业师范专科学校和山西师范大学体育学院（独立建制）并入，2006年增列为博士学位授权单位，2021年从临汾迁址太原。建校以来，学校秉承师范教育的优良传统，不断深化教师教育改革，现已发展成为一所学科门类齐全、本硕博培养体系完备、办学特色鲜明的省属重点大学，是山西省基础教育师资培养的重要基地，山西省“双一流”学科建设高校，山西省高等教育“1331工程”提质增效重点建设院校，山西省高等教育百亿工程高水平大学建设院校，进入教育部师范教育协同提质计划。</w:t>
      </w:r>
    </w:p>
    <w:p w14:paraId="5DD5BF9E">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000000" w:themeColor="text1"/>
          <w:sz w:val="28"/>
          <w:szCs w:val="28"/>
          <w:highlight w:val="none"/>
          <w:shd w:val="clear" w:color="auto" w:fill="FFFFFF"/>
          <w14:textFill>
            <w14:solidFill>
              <w14:schemeClr w14:val="tx1"/>
            </w14:solidFill>
          </w14:textFill>
        </w:rPr>
      </w:pP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学校落实立德树人根本任务，全面提升人才培养质量。现有本科生21205人，研究生4128人。设有21个学院，59个本科专业，6个国家级特色专业、1个国家级专业综合改革试点、6个省级优势专业、10个省级品牌专业、6个省级特色专业。学校坚持学科建设龙头地位，基本形成“高峰学科引领、高原学科凸起、高地学科提升”的“三高”学科体系。现有7个博士学位授权一级学科，3个博士后流动站，21个硕士学位授权一级学科，7个省级重点学科，14个省级重点建设学科，19个硕士专业学位授权类别</w:t>
      </w:r>
      <w:r>
        <w:rPr>
          <w:rFonts w:hint="eastAsia" w:ascii="仿宋" w:hAnsi="仿宋" w:eastAsia="仿宋" w:cs="仿宋"/>
          <w:color w:val="000000" w:themeColor="text1"/>
          <w:sz w:val="28"/>
          <w:szCs w:val="28"/>
          <w:highlight w:val="none"/>
          <w:shd w:val="clear" w:color="auto" w:fill="FFFFFF"/>
          <w:lang w:eastAsia="zh-CN"/>
          <w14:textFill>
            <w14:solidFill>
              <w14:schemeClr w14:val="tx1"/>
            </w14:solidFill>
          </w14:textFill>
        </w:rPr>
        <w:t>，</w:t>
      </w: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以及同等学力申请人员硕士学位授予权</w:t>
      </w: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w:t>
      </w:r>
    </w:p>
    <w:p w14:paraId="6E618301">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000000" w:themeColor="text1"/>
          <w:sz w:val="28"/>
          <w:szCs w:val="28"/>
          <w:highlight w:val="none"/>
          <w:shd w:val="clear" w:color="auto" w:fill="FFFFFF"/>
          <w14:textFill>
            <w14:solidFill>
              <w14:schemeClr w14:val="tx1"/>
            </w14:solidFill>
          </w14:textFill>
        </w:rPr>
      </w:pP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面向未来，山西师范大学将以习近平新时代中国特色社会主义思想为指导，坚持党的教育方针，坚持立德树人根本任务，为党育人、为国育才，全方位推进一流师范大学建设，努力为山西发展、强国建设、民族复兴作出新的更大贡献。</w:t>
      </w:r>
    </w:p>
    <w:p w14:paraId="4BD8CB8C">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both"/>
        <w:textAlignment w:val="auto"/>
        <w:rPr>
          <w:rFonts w:hint="eastAsia" w:ascii="微软雅黑" w:hAnsi="微软雅黑" w:eastAsia="微软雅黑" w:cs="微软雅黑"/>
          <w:b/>
          <w:bCs/>
          <w:color w:val="A3181D"/>
          <w:sz w:val="32"/>
          <w:szCs w:val="32"/>
          <w:highlight w:val="none"/>
          <w:lang w:val="en-US"/>
        </w:rPr>
      </w:pPr>
      <w:r>
        <w:rPr>
          <w:rFonts w:hint="eastAsia" w:ascii="微软雅黑" w:hAnsi="微软雅黑" w:eastAsia="微软雅黑" w:cs="微软雅黑"/>
          <w:b/>
          <w:bCs/>
          <w:color w:val="A3181D"/>
          <w:sz w:val="32"/>
          <w:szCs w:val="32"/>
          <w:highlight w:val="none"/>
          <w:lang w:val="en-US"/>
        </w:rPr>
        <w:t>二、同等学力申请硕士学位项目简介</w:t>
      </w:r>
    </w:p>
    <w:p w14:paraId="262BAA70">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000000" w:themeColor="text1"/>
          <w:sz w:val="28"/>
          <w:szCs w:val="28"/>
          <w:highlight w:val="none"/>
          <w:shd w:val="clear" w:color="auto" w:fill="FFFFFF"/>
          <w14:textFill>
            <w14:solidFill>
              <w14:schemeClr w14:val="tx1"/>
            </w14:solidFill>
          </w14:textFill>
        </w:rPr>
      </w:pP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授予同等学力人员硕士、博士学位工作是国家开辟的一条使具有研究生毕业同等学力人员获得学位的渠道。根据《国务院学位委员会关于授予具有研究生毕业同等学力人员硕士、博士学位的规定》等文件规定，同等学力人员可以通过参加课程学习班的方式学习相应专业的研究生课程，并参加</w:t>
      </w: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山西师范</w:t>
      </w: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大学组织的“同等学力人员课程水平认定考核”，考核合格，且通过国家组织的同等学力人员申请硕士学位外国语水平和学科综合水平全国统一考试的人员，完成硕士学位论文并通过论文答辩的学员，依据相关规定，授予硕士学位证书。</w:t>
      </w:r>
    </w:p>
    <w:p w14:paraId="71D0B815">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both"/>
        <w:textAlignment w:val="auto"/>
        <w:rPr>
          <w:rFonts w:hint="eastAsia" w:ascii="微软雅黑" w:hAnsi="微软雅黑" w:eastAsia="微软雅黑" w:cs="微软雅黑"/>
          <w:b/>
          <w:bCs/>
          <w:color w:val="A3181D"/>
          <w:sz w:val="32"/>
          <w:szCs w:val="32"/>
          <w:highlight w:val="none"/>
          <w:lang w:val="en-US"/>
        </w:rPr>
      </w:pPr>
      <w:r>
        <w:rPr>
          <w:rFonts w:hint="eastAsia" w:ascii="微软雅黑" w:hAnsi="微软雅黑" w:eastAsia="微软雅黑" w:cs="微软雅黑"/>
          <w:b/>
          <w:bCs/>
          <w:color w:val="A3181D"/>
          <w:sz w:val="32"/>
          <w:szCs w:val="32"/>
          <w:highlight w:val="none"/>
          <w:lang w:val="en-US"/>
        </w:rPr>
        <w:t>三、接受申请的学科目录</w:t>
      </w:r>
    </w:p>
    <w:tbl>
      <w:tblPr>
        <w:tblStyle w:val="5"/>
        <w:tblW w:w="8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937"/>
        <w:gridCol w:w="1035"/>
        <w:gridCol w:w="1534"/>
        <w:gridCol w:w="1220"/>
        <w:gridCol w:w="1304"/>
        <w:gridCol w:w="1195"/>
      </w:tblGrid>
      <w:tr w14:paraId="2899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952" w:type="dxa"/>
            <w:vAlign w:val="center"/>
          </w:tcPr>
          <w:p w14:paraId="214F4E31">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b/>
                <w:bCs/>
                <w:color w:val="000000" w:themeColor="text1"/>
                <w:highlight w:val="none"/>
                <w:lang w:val="en-US" w:eastAsia="zh-CN"/>
                <w14:textFill>
                  <w14:solidFill>
                    <w14:schemeClr w14:val="tx1"/>
                  </w14:solidFill>
                </w14:textFill>
              </w:rPr>
            </w:pPr>
            <w:r>
              <w:rPr>
                <w:rFonts w:hint="eastAsia" w:ascii="仿宋" w:hAnsi="仿宋" w:eastAsia="仿宋" w:cs="仿宋"/>
                <w:b/>
                <w:bCs/>
                <w:color w:val="000000" w:themeColor="text1"/>
                <w:highlight w:val="none"/>
                <w:lang w:val="en-US" w:eastAsia="zh-CN"/>
                <w14:textFill>
                  <w14:solidFill>
                    <w14:schemeClr w14:val="tx1"/>
                  </w14:solidFill>
                </w14:textFill>
              </w:rPr>
              <w:t>院系所</w:t>
            </w:r>
          </w:p>
        </w:tc>
        <w:tc>
          <w:tcPr>
            <w:tcW w:w="1972" w:type="dxa"/>
            <w:gridSpan w:val="2"/>
            <w:vAlign w:val="center"/>
          </w:tcPr>
          <w:p w14:paraId="2A25F024">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b/>
                <w:bCs/>
                <w:color w:val="000000" w:themeColor="text1"/>
                <w:highlight w:val="none"/>
                <w:lang w:val="en-US" w:eastAsia="zh-CN"/>
                <w14:textFill>
                  <w14:solidFill>
                    <w14:schemeClr w14:val="tx1"/>
                  </w14:solidFill>
                </w14:textFill>
              </w:rPr>
            </w:pPr>
            <w:r>
              <w:rPr>
                <w:rFonts w:hint="eastAsia" w:ascii="仿宋" w:hAnsi="仿宋" w:eastAsia="仿宋" w:cs="仿宋"/>
                <w:b/>
                <w:bCs/>
                <w:color w:val="000000" w:themeColor="text1"/>
                <w:highlight w:val="none"/>
                <w:lang w:val="en-US" w:eastAsia="zh-CN"/>
                <w14:textFill>
                  <w14:solidFill>
                    <w14:schemeClr w14:val="tx1"/>
                  </w14:solidFill>
                </w14:textFill>
              </w:rPr>
              <w:t>专业</w:t>
            </w:r>
          </w:p>
        </w:tc>
        <w:tc>
          <w:tcPr>
            <w:tcW w:w="1534" w:type="dxa"/>
            <w:vAlign w:val="center"/>
          </w:tcPr>
          <w:p w14:paraId="07AE0421">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b/>
                <w:bCs/>
                <w:color w:val="000000" w:themeColor="text1"/>
                <w:highlight w:val="none"/>
                <w:lang w:val="en-US" w:eastAsia="zh-CN"/>
                <w14:textFill>
                  <w14:solidFill>
                    <w14:schemeClr w14:val="tx1"/>
                  </w14:solidFill>
                </w14:textFill>
              </w:rPr>
            </w:pPr>
            <w:r>
              <w:rPr>
                <w:rFonts w:hint="eastAsia" w:ascii="仿宋" w:hAnsi="仿宋" w:eastAsia="仿宋" w:cs="仿宋"/>
                <w:b/>
                <w:bCs/>
                <w:color w:val="000000" w:themeColor="text1"/>
                <w:highlight w:val="none"/>
                <w:lang w:val="en-US" w:eastAsia="zh-CN"/>
                <w14:textFill>
                  <w14:solidFill>
                    <w14:schemeClr w14:val="tx1"/>
                  </w14:solidFill>
                </w14:textFill>
              </w:rPr>
              <w:t>研究方向</w:t>
            </w:r>
          </w:p>
        </w:tc>
        <w:tc>
          <w:tcPr>
            <w:tcW w:w="1220" w:type="dxa"/>
            <w:vAlign w:val="center"/>
          </w:tcPr>
          <w:p w14:paraId="2B783DC7">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b/>
                <w:bCs/>
                <w:color w:val="000000" w:themeColor="text1"/>
                <w:highlight w:val="none"/>
                <w:lang w:val="en-US"/>
                <w14:textFill>
                  <w14:solidFill>
                    <w14:schemeClr w14:val="tx1"/>
                  </w14:solidFill>
                </w14:textFill>
              </w:rPr>
            </w:pPr>
            <w:r>
              <w:rPr>
                <w:rFonts w:hint="eastAsia" w:ascii="仿宋" w:hAnsi="仿宋" w:eastAsia="仿宋" w:cs="仿宋"/>
                <w:b/>
                <w:bCs/>
                <w:color w:val="000000" w:themeColor="text1"/>
                <w:highlight w:val="none"/>
                <w:lang w:val="en-US"/>
                <w14:textFill>
                  <w14:solidFill>
                    <w14:schemeClr w14:val="tx1"/>
                  </w14:solidFill>
                </w14:textFill>
              </w:rPr>
              <w:t>授予学位</w:t>
            </w:r>
          </w:p>
        </w:tc>
        <w:tc>
          <w:tcPr>
            <w:tcW w:w="1304" w:type="dxa"/>
            <w:vAlign w:val="center"/>
          </w:tcPr>
          <w:p w14:paraId="3336E86E">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b/>
                <w:bCs/>
                <w:color w:val="000000" w:themeColor="text1"/>
                <w:highlight w:val="none"/>
                <w:lang w:val="en-US"/>
                <w14:textFill>
                  <w14:solidFill>
                    <w14:schemeClr w14:val="tx1"/>
                  </w14:solidFill>
                </w14:textFill>
              </w:rPr>
            </w:pPr>
            <w:r>
              <w:rPr>
                <w:rFonts w:hint="eastAsia" w:ascii="仿宋" w:hAnsi="仿宋" w:eastAsia="仿宋" w:cs="仿宋"/>
                <w:b/>
                <w:bCs/>
                <w:color w:val="000000" w:themeColor="text1"/>
                <w:highlight w:val="none"/>
                <w:lang w:val="en-US"/>
                <w14:textFill>
                  <w14:solidFill>
                    <w14:schemeClr w14:val="tx1"/>
                  </w14:solidFill>
                </w14:textFill>
              </w:rPr>
              <w:t>全国统考学科统考学科综合考试科目</w:t>
            </w:r>
          </w:p>
        </w:tc>
        <w:tc>
          <w:tcPr>
            <w:tcW w:w="1195" w:type="dxa"/>
            <w:vAlign w:val="center"/>
          </w:tcPr>
          <w:p w14:paraId="169AC34B">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b/>
                <w:bCs/>
                <w:color w:val="000000" w:themeColor="text1"/>
                <w:highlight w:val="none"/>
                <w:lang w:val="en-US"/>
                <w14:textFill>
                  <w14:solidFill>
                    <w14:schemeClr w14:val="tx1"/>
                  </w14:solidFill>
                </w14:textFill>
              </w:rPr>
            </w:pPr>
            <w:r>
              <w:rPr>
                <w:rFonts w:hint="eastAsia" w:ascii="仿宋" w:hAnsi="仿宋" w:eastAsia="仿宋" w:cs="仿宋"/>
                <w:b/>
                <w:bCs/>
                <w:color w:val="000000" w:themeColor="text1"/>
                <w:highlight w:val="none"/>
                <w:lang w:val="en-US"/>
                <w14:textFill>
                  <w14:solidFill>
                    <w14:schemeClr w14:val="tx1"/>
                  </w14:solidFill>
                </w14:textFill>
              </w:rPr>
              <w:t>全国统考外国语考试语种</w:t>
            </w:r>
          </w:p>
        </w:tc>
      </w:tr>
      <w:tr w14:paraId="5E63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52" w:type="dxa"/>
            <w:vMerge w:val="restart"/>
            <w:vAlign w:val="center"/>
          </w:tcPr>
          <w:p w14:paraId="2C238231">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教育科学学院</w:t>
            </w:r>
          </w:p>
        </w:tc>
        <w:tc>
          <w:tcPr>
            <w:tcW w:w="937" w:type="dxa"/>
            <w:vMerge w:val="restart"/>
            <w:vAlign w:val="center"/>
          </w:tcPr>
          <w:p w14:paraId="0A6E0A76">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040100</w:t>
            </w:r>
          </w:p>
        </w:tc>
        <w:tc>
          <w:tcPr>
            <w:tcW w:w="1035" w:type="dxa"/>
            <w:vMerge w:val="restart"/>
            <w:vAlign w:val="center"/>
          </w:tcPr>
          <w:p w14:paraId="2C8EE041">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教育学</w:t>
            </w:r>
          </w:p>
        </w:tc>
        <w:tc>
          <w:tcPr>
            <w:tcW w:w="1534" w:type="dxa"/>
            <w:vAlign w:val="center"/>
          </w:tcPr>
          <w:p w14:paraId="2EC851C2">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教育学原理</w:t>
            </w:r>
          </w:p>
        </w:tc>
        <w:tc>
          <w:tcPr>
            <w:tcW w:w="1220" w:type="dxa"/>
            <w:vAlign w:val="center"/>
          </w:tcPr>
          <w:p w14:paraId="63B57A9F">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教育学</w:t>
            </w:r>
          </w:p>
        </w:tc>
        <w:tc>
          <w:tcPr>
            <w:tcW w:w="1304" w:type="dxa"/>
            <w:vAlign w:val="center"/>
          </w:tcPr>
          <w:p w14:paraId="246E03A5">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教育学</w:t>
            </w:r>
          </w:p>
        </w:tc>
        <w:tc>
          <w:tcPr>
            <w:tcW w:w="1195" w:type="dxa"/>
            <w:vMerge w:val="restart"/>
            <w:vAlign w:val="center"/>
          </w:tcPr>
          <w:p w14:paraId="35D9D905">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英语、俄语、法语、德语和日语</w:t>
            </w:r>
          </w:p>
        </w:tc>
      </w:tr>
      <w:tr w14:paraId="0A4EA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52" w:type="dxa"/>
            <w:vMerge w:val="continue"/>
            <w:vAlign w:val="center"/>
          </w:tcPr>
          <w:p w14:paraId="5D30F7FD">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14:textFill>
                  <w14:solidFill>
                    <w14:schemeClr w14:val="tx1"/>
                  </w14:solidFill>
                </w14:textFill>
              </w:rPr>
            </w:pPr>
          </w:p>
        </w:tc>
        <w:tc>
          <w:tcPr>
            <w:tcW w:w="937" w:type="dxa"/>
            <w:vMerge w:val="continue"/>
            <w:vAlign w:val="center"/>
          </w:tcPr>
          <w:p w14:paraId="3A74D1DC">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14:textFill>
                  <w14:solidFill>
                    <w14:schemeClr w14:val="tx1"/>
                  </w14:solidFill>
                </w14:textFill>
              </w:rPr>
            </w:pPr>
          </w:p>
        </w:tc>
        <w:tc>
          <w:tcPr>
            <w:tcW w:w="1035" w:type="dxa"/>
            <w:vMerge w:val="continue"/>
            <w:vAlign w:val="center"/>
          </w:tcPr>
          <w:p w14:paraId="48272457">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14:textFill>
                  <w14:solidFill>
                    <w14:schemeClr w14:val="tx1"/>
                  </w14:solidFill>
                </w14:textFill>
              </w:rPr>
            </w:pPr>
          </w:p>
        </w:tc>
        <w:tc>
          <w:tcPr>
            <w:tcW w:w="1534" w:type="dxa"/>
            <w:vAlign w:val="center"/>
          </w:tcPr>
          <w:p w14:paraId="0CB93214">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学前教育学</w:t>
            </w:r>
          </w:p>
        </w:tc>
        <w:tc>
          <w:tcPr>
            <w:tcW w:w="1220" w:type="dxa"/>
            <w:vAlign w:val="center"/>
          </w:tcPr>
          <w:p w14:paraId="051DEEC5">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教育学</w:t>
            </w:r>
          </w:p>
        </w:tc>
        <w:tc>
          <w:tcPr>
            <w:tcW w:w="1304" w:type="dxa"/>
            <w:vAlign w:val="center"/>
          </w:tcPr>
          <w:p w14:paraId="1E9EE2FA">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教育学</w:t>
            </w:r>
          </w:p>
        </w:tc>
        <w:tc>
          <w:tcPr>
            <w:tcW w:w="1195" w:type="dxa"/>
            <w:vMerge w:val="continue"/>
          </w:tcPr>
          <w:p w14:paraId="44BB8F47">
            <w:pPr>
              <w:keepNext w:val="0"/>
              <w:keepLines w:val="0"/>
              <w:pageBreakBefore w:val="0"/>
              <w:widowControl/>
              <w:kinsoku/>
              <w:wordWrap/>
              <w:overflowPunct/>
              <w:topLinePunct w:val="0"/>
              <w:autoSpaceDE/>
              <w:autoSpaceDN/>
              <w:bidi w:val="0"/>
              <w:adjustRightInd w:val="0"/>
              <w:snapToGrid w:val="0"/>
              <w:jc w:val="both"/>
              <w:textAlignment w:val="auto"/>
              <w:rPr>
                <w:rFonts w:hint="eastAsia" w:ascii="仿宋" w:hAnsi="仿宋" w:eastAsia="仿宋" w:cs="仿宋"/>
                <w:color w:val="000000" w:themeColor="text1"/>
                <w:highlight w:val="none"/>
                <w:lang w:val="en-US"/>
                <w14:textFill>
                  <w14:solidFill>
                    <w14:schemeClr w14:val="tx1"/>
                  </w14:solidFill>
                </w14:textFill>
              </w:rPr>
            </w:pPr>
          </w:p>
        </w:tc>
      </w:tr>
      <w:tr w14:paraId="7344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952" w:type="dxa"/>
            <w:vMerge w:val="continue"/>
            <w:vAlign w:val="center"/>
          </w:tcPr>
          <w:p w14:paraId="4666F37D">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14:textFill>
                  <w14:solidFill>
                    <w14:schemeClr w14:val="tx1"/>
                  </w14:solidFill>
                </w14:textFill>
              </w:rPr>
            </w:pPr>
          </w:p>
        </w:tc>
        <w:tc>
          <w:tcPr>
            <w:tcW w:w="937" w:type="dxa"/>
            <w:vMerge w:val="restart"/>
            <w:vAlign w:val="center"/>
          </w:tcPr>
          <w:p w14:paraId="30573715">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040200</w:t>
            </w:r>
          </w:p>
        </w:tc>
        <w:tc>
          <w:tcPr>
            <w:tcW w:w="1035" w:type="dxa"/>
            <w:vMerge w:val="restart"/>
            <w:vAlign w:val="center"/>
          </w:tcPr>
          <w:p w14:paraId="4F24E2CE">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心理学</w:t>
            </w:r>
          </w:p>
        </w:tc>
        <w:tc>
          <w:tcPr>
            <w:tcW w:w="1534" w:type="dxa"/>
            <w:vAlign w:val="center"/>
          </w:tcPr>
          <w:p w14:paraId="5B09B800">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发展与教育心理学</w:t>
            </w:r>
          </w:p>
        </w:tc>
        <w:tc>
          <w:tcPr>
            <w:tcW w:w="1220" w:type="dxa"/>
            <w:vAlign w:val="center"/>
          </w:tcPr>
          <w:p w14:paraId="109222CA">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教育学</w:t>
            </w:r>
          </w:p>
        </w:tc>
        <w:tc>
          <w:tcPr>
            <w:tcW w:w="1304" w:type="dxa"/>
            <w:vAlign w:val="center"/>
          </w:tcPr>
          <w:p w14:paraId="75FB9069">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心理学</w:t>
            </w:r>
          </w:p>
        </w:tc>
        <w:tc>
          <w:tcPr>
            <w:tcW w:w="1195" w:type="dxa"/>
            <w:vMerge w:val="continue"/>
          </w:tcPr>
          <w:p w14:paraId="1F499293">
            <w:pPr>
              <w:keepNext w:val="0"/>
              <w:keepLines w:val="0"/>
              <w:pageBreakBefore w:val="0"/>
              <w:widowControl/>
              <w:kinsoku/>
              <w:wordWrap/>
              <w:overflowPunct/>
              <w:topLinePunct w:val="0"/>
              <w:autoSpaceDE/>
              <w:autoSpaceDN/>
              <w:bidi w:val="0"/>
              <w:adjustRightInd w:val="0"/>
              <w:snapToGrid w:val="0"/>
              <w:jc w:val="both"/>
              <w:textAlignment w:val="auto"/>
              <w:rPr>
                <w:rFonts w:hint="eastAsia" w:ascii="仿宋" w:hAnsi="仿宋" w:eastAsia="仿宋" w:cs="仿宋"/>
                <w:color w:val="000000" w:themeColor="text1"/>
                <w:highlight w:val="none"/>
                <w:lang w:val="en-US"/>
                <w14:textFill>
                  <w14:solidFill>
                    <w14:schemeClr w14:val="tx1"/>
                  </w14:solidFill>
                </w14:textFill>
              </w:rPr>
            </w:pPr>
          </w:p>
        </w:tc>
      </w:tr>
      <w:tr w14:paraId="1396C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52" w:type="dxa"/>
            <w:vMerge w:val="continue"/>
            <w:vAlign w:val="center"/>
          </w:tcPr>
          <w:p w14:paraId="7F24CC75">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14:textFill>
                  <w14:solidFill>
                    <w14:schemeClr w14:val="tx1"/>
                  </w14:solidFill>
                </w14:textFill>
              </w:rPr>
            </w:pPr>
          </w:p>
        </w:tc>
        <w:tc>
          <w:tcPr>
            <w:tcW w:w="937" w:type="dxa"/>
            <w:vMerge w:val="continue"/>
            <w:vAlign w:val="center"/>
          </w:tcPr>
          <w:p w14:paraId="4FD0B25B">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14:textFill>
                  <w14:solidFill>
                    <w14:schemeClr w14:val="tx1"/>
                  </w14:solidFill>
                </w14:textFill>
              </w:rPr>
            </w:pPr>
          </w:p>
        </w:tc>
        <w:tc>
          <w:tcPr>
            <w:tcW w:w="1035" w:type="dxa"/>
            <w:vMerge w:val="continue"/>
            <w:vAlign w:val="center"/>
          </w:tcPr>
          <w:p w14:paraId="27C7CB98">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14:textFill>
                  <w14:solidFill>
                    <w14:schemeClr w14:val="tx1"/>
                  </w14:solidFill>
                </w14:textFill>
              </w:rPr>
            </w:pPr>
          </w:p>
        </w:tc>
        <w:tc>
          <w:tcPr>
            <w:tcW w:w="1534" w:type="dxa"/>
            <w:vAlign w:val="center"/>
          </w:tcPr>
          <w:p w14:paraId="4DCC58ED">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应用心理学</w:t>
            </w:r>
          </w:p>
        </w:tc>
        <w:tc>
          <w:tcPr>
            <w:tcW w:w="1220" w:type="dxa"/>
            <w:vAlign w:val="center"/>
          </w:tcPr>
          <w:p w14:paraId="0FD3B754">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教育学</w:t>
            </w:r>
          </w:p>
        </w:tc>
        <w:tc>
          <w:tcPr>
            <w:tcW w:w="1304" w:type="dxa"/>
            <w:vAlign w:val="center"/>
          </w:tcPr>
          <w:p w14:paraId="436314D7">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14:textFill>
                  <w14:solidFill>
                    <w14:schemeClr w14:val="tx1"/>
                  </w14:solidFill>
                </w14:textFill>
              </w:rPr>
            </w:pPr>
            <w:r>
              <w:rPr>
                <w:rFonts w:hint="eastAsia" w:ascii="仿宋" w:hAnsi="仿宋" w:eastAsia="仿宋" w:cs="仿宋"/>
                <w:color w:val="000000" w:themeColor="text1"/>
                <w:highlight w:val="none"/>
                <w:lang w:val="en-US"/>
                <w14:textFill>
                  <w14:solidFill>
                    <w14:schemeClr w14:val="tx1"/>
                  </w14:solidFill>
                </w14:textFill>
              </w:rPr>
              <w:t>心理学</w:t>
            </w:r>
          </w:p>
        </w:tc>
        <w:tc>
          <w:tcPr>
            <w:tcW w:w="1195" w:type="dxa"/>
            <w:vMerge w:val="continue"/>
          </w:tcPr>
          <w:p w14:paraId="013FA93C">
            <w:pPr>
              <w:keepNext w:val="0"/>
              <w:keepLines w:val="0"/>
              <w:pageBreakBefore w:val="0"/>
              <w:widowControl/>
              <w:kinsoku/>
              <w:wordWrap/>
              <w:overflowPunct/>
              <w:topLinePunct w:val="0"/>
              <w:autoSpaceDE/>
              <w:autoSpaceDN/>
              <w:bidi w:val="0"/>
              <w:adjustRightInd w:val="0"/>
              <w:snapToGrid w:val="0"/>
              <w:jc w:val="both"/>
              <w:textAlignment w:val="auto"/>
              <w:rPr>
                <w:rFonts w:hint="eastAsia" w:ascii="仿宋" w:hAnsi="仿宋" w:eastAsia="仿宋" w:cs="仿宋"/>
                <w:color w:val="000000" w:themeColor="text1"/>
                <w:highlight w:val="none"/>
                <w:lang w:val="en-US"/>
                <w14:textFill>
                  <w14:solidFill>
                    <w14:schemeClr w14:val="tx1"/>
                  </w14:solidFill>
                </w14:textFill>
              </w:rPr>
            </w:pPr>
          </w:p>
        </w:tc>
      </w:tr>
      <w:tr w14:paraId="6ABB1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52" w:type="dxa"/>
            <w:vMerge w:val="restart"/>
            <w:vAlign w:val="center"/>
          </w:tcPr>
          <w:p w14:paraId="1AABD78A">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教师教育学院</w:t>
            </w:r>
          </w:p>
        </w:tc>
        <w:tc>
          <w:tcPr>
            <w:tcW w:w="937" w:type="dxa"/>
            <w:vMerge w:val="restart"/>
            <w:vAlign w:val="center"/>
          </w:tcPr>
          <w:p w14:paraId="1464E873">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040102</w:t>
            </w:r>
          </w:p>
        </w:tc>
        <w:tc>
          <w:tcPr>
            <w:tcW w:w="1035" w:type="dxa"/>
            <w:vMerge w:val="restart"/>
            <w:vAlign w:val="center"/>
          </w:tcPr>
          <w:p w14:paraId="37CAD7D4">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课程与教学论</w:t>
            </w:r>
          </w:p>
        </w:tc>
        <w:tc>
          <w:tcPr>
            <w:tcW w:w="1534" w:type="dxa"/>
            <w:vAlign w:val="center"/>
          </w:tcPr>
          <w:p w14:paraId="6DC9BE70">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思想政治学科教学论</w:t>
            </w:r>
          </w:p>
        </w:tc>
        <w:tc>
          <w:tcPr>
            <w:tcW w:w="1220" w:type="dxa"/>
            <w:vAlign w:val="center"/>
          </w:tcPr>
          <w:p w14:paraId="74E6F803">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教育学</w:t>
            </w:r>
          </w:p>
        </w:tc>
        <w:tc>
          <w:tcPr>
            <w:tcW w:w="1304" w:type="dxa"/>
            <w:vAlign w:val="center"/>
          </w:tcPr>
          <w:p w14:paraId="1E42F423">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教育学</w:t>
            </w:r>
          </w:p>
        </w:tc>
        <w:tc>
          <w:tcPr>
            <w:tcW w:w="1195" w:type="dxa"/>
            <w:vMerge w:val="continue"/>
          </w:tcPr>
          <w:p w14:paraId="60A8485D">
            <w:pPr>
              <w:keepNext w:val="0"/>
              <w:keepLines w:val="0"/>
              <w:pageBreakBefore w:val="0"/>
              <w:widowControl/>
              <w:kinsoku/>
              <w:wordWrap/>
              <w:overflowPunct/>
              <w:topLinePunct w:val="0"/>
              <w:autoSpaceDE/>
              <w:autoSpaceDN/>
              <w:bidi w:val="0"/>
              <w:adjustRightInd w:val="0"/>
              <w:snapToGrid w:val="0"/>
              <w:jc w:val="both"/>
              <w:textAlignment w:val="auto"/>
              <w:rPr>
                <w:rFonts w:hint="eastAsia" w:ascii="仿宋" w:hAnsi="仿宋" w:eastAsia="仿宋" w:cs="仿宋"/>
                <w:color w:val="000000" w:themeColor="text1"/>
                <w:highlight w:val="none"/>
                <w:lang w:val="en-US"/>
                <w14:textFill>
                  <w14:solidFill>
                    <w14:schemeClr w14:val="tx1"/>
                  </w14:solidFill>
                </w14:textFill>
              </w:rPr>
            </w:pPr>
          </w:p>
        </w:tc>
      </w:tr>
      <w:tr w14:paraId="501B8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52" w:type="dxa"/>
            <w:vMerge w:val="continue"/>
            <w:vAlign w:val="center"/>
          </w:tcPr>
          <w:p w14:paraId="69DE1D3E">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eastAsia="zh-CN"/>
                <w14:textFill>
                  <w14:solidFill>
                    <w14:schemeClr w14:val="tx1"/>
                  </w14:solidFill>
                </w14:textFill>
              </w:rPr>
            </w:pPr>
          </w:p>
        </w:tc>
        <w:tc>
          <w:tcPr>
            <w:tcW w:w="937" w:type="dxa"/>
            <w:vMerge w:val="continue"/>
            <w:vAlign w:val="center"/>
          </w:tcPr>
          <w:p w14:paraId="716A4046">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eastAsia="zh-CN"/>
                <w14:textFill>
                  <w14:solidFill>
                    <w14:schemeClr w14:val="tx1"/>
                  </w14:solidFill>
                </w14:textFill>
              </w:rPr>
            </w:pPr>
          </w:p>
        </w:tc>
        <w:tc>
          <w:tcPr>
            <w:tcW w:w="1035" w:type="dxa"/>
            <w:vMerge w:val="continue"/>
            <w:vAlign w:val="center"/>
          </w:tcPr>
          <w:p w14:paraId="707D6DFC">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eastAsia="zh-CN"/>
                <w14:textFill>
                  <w14:solidFill>
                    <w14:schemeClr w14:val="tx1"/>
                  </w14:solidFill>
                </w14:textFill>
              </w:rPr>
            </w:pPr>
          </w:p>
        </w:tc>
        <w:tc>
          <w:tcPr>
            <w:tcW w:w="1534" w:type="dxa"/>
            <w:vAlign w:val="center"/>
          </w:tcPr>
          <w:p w14:paraId="154E326F">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语文学科教学论</w:t>
            </w:r>
          </w:p>
        </w:tc>
        <w:tc>
          <w:tcPr>
            <w:tcW w:w="1220" w:type="dxa"/>
            <w:vAlign w:val="center"/>
          </w:tcPr>
          <w:p w14:paraId="5BA34D42">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教育学</w:t>
            </w:r>
          </w:p>
        </w:tc>
        <w:tc>
          <w:tcPr>
            <w:tcW w:w="1304" w:type="dxa"/>
            <w:vAlign w:val="center"/>
          </w:tcPr>
          <w:p w14:paraId="471E6ECC">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教育学</w:t>
            </w:r>
          </w:p>
        </w:tc>
        <w:tc>
          <w:tcPr>
            <w:tcW w:w="1195" w:type="dxa"/>
            <w:vMerge w:val="continue"/>
          </w:tcPr>
          <w:p w14:paraId="05177D9B">
            <w:pPr>
              <w:keepNext w:val="0"/>
              <w:keepLines w:val="0"/>
              <w:pageBreakBefore w:val="0"/>
              <w:widowControl/>
              <w:kinsoku/>
              <w:wordWrap/>
              <w:overflowPunct/>
              <w:topLinePunct w:val="0"/>
              <w:autoSpaceDE/>
              <w:autoSpaceDN/>
              <w:bidi w:val="0"/>
              <w:adjustRightInd w:val="0"/>
              <w:snapToGrid w:val="0"/>
              <w:jc w:val="both"/>
              <w:textAlignment w:val="auto"/>
              <w:rPr>
                <w:rFonts w:hint="eastAsia" w:ascii="仿宋" w:hAnsi="仿宋" w:eastAsia="仿宋" w:cs="仿宋"/>
                <w:color w:val="000000" w:themeColor="text1"/>
                <w:highlight w:val="none"/>
                <w:lang w:val="en-US"/>
                <w14:textFill>
                  <w14:solidFill>
                    <w14:schemeClr w14:val="tx1"/>
                  </w14:solidFill>
                </w14:textFill>
              </w:rPr>
            </w:pPr>
          </w:p>
        </w:tc>
      </w:tr>
      <w:tr w14:paraId="2A7D5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52" w:type="dxa"/>
            <w:vMerge w:val="continue"/>
            <w:vAlign w:val="center"/>
          </w:tcPr>
          <w:p w14:paraId="18DF7C50">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eastAsia="zh-CN"/>
                <w14:textFill>
                  <w14:solidFill>
                    <w14:schemeClr w14:val="tx1"/>
                  </w14:solidFill>
                </w14:textFill>
              </w:rPr>
            </w:pPr>
          </w:p>
        </w:tc>
        <w:tc>
          <w:tcPr>
            <w:tcW w:w="937" w:type="dxa"/>
            <w:vMerge w:val="continue"/>
            <w:vAlign w:val="center"/>
          </w:tcPr>
          <w:p w14:paraId="6A8F0007">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eastAsia="zh-CN"/>
                <w14:textFill>
                  <w14:solidFill>
                    <w14:schemeClr w14:val="tx1"/>
                  </w14:solidFill>
                </w14:textFill>
              </w:rPr>
            </w:pPr>
          </w:p>
        </w:tc>
        <w:tc>
          <w:tcPr>
            <w:tcW w:w="1035" w:type="dxa"/>
            <w:vMerge w:val="continue"/>
            <w:vAlign w:val="center"/>
          </w:tcPr>
          <w:p w14:paraId="2898BB6F">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eastAsia="zh-CN"/>
                <w14:textFill>
                  <w14:solidFill>
                    <w14:schemeClr w14:val="tx1"/>
                  </w14:solidFill>
                </w14:textFill>
              </w:rPr>
            </w:pPr>
          </w:p>
        </w:tc>
        <w:tc>
          <w:tcPr>
            <w:tcW w:w="1534" w:type="dxa"/>
            <w:vAlign w:val="center"/>
          </w:tcPr>
          <w:p w14:paraId="39D9ADC6">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数学学科教学论</w:t>
            </w:r>
          </w:p>
        </w:tc>
        <w:tc>
          <w:tcPr>
            <w:tcW w:w="1220" w:type="dxa"/>
            <w:vAlign w:val="center"/>
          </w:tcPr>
          <w:p w14:paraId="7960858D">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教育学</w:t>
            </w:r>
          </w:p>
        </w:tc>
        <w:tc>
          <w:tcPr>
            <w:tcW w:w="1304" w:type="dxa"/>
            <w:vAlign w:val="center"/>
          </w:tcPr>
          <w:p w14:paraId="4BCF8D77">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教育学</w:t>
            </w:r>
          </w:p>
        </w:tc>
        <w:tc>
          <w:tcPr>
            <w:tcW w:w="1195" w:type="dxa"/>
            <w:vMerge w:val="continue"/>
          </w:tcPr>
          <w:p w14:paraId="154F471D">
            <w:pPr>
              <w:keepNext w:val="0"/>
              <w:keepLines w:val="0"/>
              <w:pageBreakBefore w:val="0"/>
              <w:widowControl/>
              <w:kinsoku/>
              <w:wordWrap/>
              <w:overflowPunct/>
              <w:topLinePunct w:val="0"/>
              <w:autoSpaceDE/>
              <w:autoSpaceDN/>
              <w:bidi w:val="0"/>
              <w:adjustRightInd w:val="0"/>
              <w:snapToGrid w:val="0"/>
              <w:jc w:val="both"/>
              <w:textAlignment w:val="auto"/>
              <w:rPr>
                <w:rFonts w:hint="eastAsia" w:ascii="仿宋" w:hAnsi="仿宋" w:eastAsia="仿宋" w:cs="仿宋"/>
                <w:color w:val="000000" w:themeColor="text1"/>
                <w:highlight w:val="none"/>
                <w:lang w:val="en-US"/>
                <w14:textFill>
                  <w14:solidFill>
                    <w14:schemeClr w14:val="tx1"/>
                  </w14:solidFill>
                </w14:textFill>
              </w:rPr>
            </w:pPr>
          </w:p>
        </w:tc>
      </w:tr>
      <w:tr w14:paraId="1AE6D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52" w:type="dxa"/>
            <w:vMerge w:val="continue"/>
            <w:vAlign w:val="center"/>
          </w:tcPr>
          <w:p w14:paraId="5D3C0601">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eastAsia="zh-CN"/>
                <w14:textFill>
                  <w14:solidFill>
                    <w14:schemeClr w14:val="tx1"/>
                  </w14:solidFill>
                </w14:textFill>
              </w:rPr>
            </w:pPr>
          </w:p>
        </w:tc>
        <w:tc>
          <w:tcPr>
            <w:tcW w:w="937" w:type="dxa"/>
            <w:vMerge w:val="continue"/>
            <w:vAlign w:val="center"/>
          </w:tcPr>
          <w:p w14:paraId="478E37AC">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eastAsia="zh-CN"/>
                <w14:textFill>
                  <w14:solidFill>
                    <w14:schemeClr w14:val="tx1"/>
                  </w14:solidFill>
                </w14:textFill>
              </w:rPr>
            </w:pPr>
          </w:p>
        </w:tc>
        <w:tc>
          <w:tcPr>
            <w:tcW w:w="1035" w:type="dxa"/>
            <w:vMerge w:val="continue"/>
            <w:vAlign w:val="center"/>
          </w:tcPr>
          <w:p w14:paraId="49A3EE5D">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eastAsia="zh-CN"/>
                <w14:textFill>
                  <w14:solidFill>
                    <w14:schemeClr w14:val="tx1"/>
                  </w14:solidFill>
                </w14:textFill>
              </w:rPr>
            </w:pPr>
          </w:p>
        </w:tc>
        <w:tc>
          <w:tcPr>
            <w:tcW w:w="1534" w:type="dxa"/>
            <w:vAlign w:val="center"/>
          </w:tcPr>
          <w:p w14:paraId="7CCFB223">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英语学科教学论</w:t>
            </w:r>
          </w:p>
        </w:tc>
        <w:tc>
          <w:tcPr>
            <w:tcW w:w="1220" w:type="dxa"/>
            <w:vAlign w:val="center"/>
          </w:tcPr>
          <w:p w14:paraId="59DE29DE">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教育学</w:t>
            </w:r>
          </w:p>
        </w:tc>
        <w:tc>
          <w:tcPr>
            <w:tcW w:w="1304" w:type="dxa"/>
            <w:vAlign w:val="center"/>
          </w:tcPr>
          <w:p w14:paraId="55C65B66">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教育学</w:t>
            </w:r>
          </w:p>
        </w:tc>
        <w:tc>
          <w:tcPr>
            <w:tcW w:w="1195" w:type="dxa"/>
            <w:vMerge w:val="continue"/>
          </w:tcPr>
          <w:p w14:paraId="33922E30">
            <w:pPr>
              <w:keepNext w:val="0"/>
              <w:keepLines w:val="0"/>
              <w:pageBreakBefore w:val="0"/>
              <w:widowControl/>
              <w:kinsoku/>
              <w:wordWrap/>
              <w:overflowPunct/>
              <w:topLinePunct w:val="0"/>
              <w:autoSpaceDE/>
              <w:autoSpaceDN/>
              <w:bidi w:val="0"/>
              <w:adjustRightInd w:val="0"/>
              <w:snapToGrid w:val="0"/>
              <w:jc w:val="both"/>
              <w:textAlignment w:val="auto"/>
              <w:rPr>
                <w:rFonts w:hint="eastAsia" w:ascii="仿宋" w:hAnsi="仿宋" w:eastAsia="仿宋" w:cs="仿宋"/>
                <w:color w:val="000000" w:themeColor="text1"/>
                <w:highlight w:val="none"/>
                <w:lang w:val="en-US"/>
                <w14:textFill>
                  <w14:solidFill>
                    <w14:schemeClr w14:val="tx1"/>
                  </w14:solidFill>
                </w14:textFill>
              </w:rPr>
            </w:pPr>
          </w:p>
        </w:tc>
      </w:tr>
      <w:tr w14:paraId="5D730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52" w:type="dxa"/>
            <w:vMerge w:val="continue"/>
            <w:vAlign w:val="center"/>
          </w:tcPr>
          <w:p w14:paraId="4622C97B">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eastAsia="zh-CN"/>
                <w14:textFill>
                  <w14:solidFill>
                    <w14:schemeClr w14:val="tx1"/>
                  </w14:solidFill>
                </w14:textFill>
              </w:rPr>
            </w:pPr>
          </w:p>
        </w:tc>
        <w:tc>
          <w:tcPr>
            <w:tcW w:w="937" w:type="dxa"/>
            <w:vMerge w:val="continue"/>
            <w:vAlign w:val="center"/>
          </w:tcPr>
          <w:p w14:paraId="50E85D23">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eastAsia="zh-CN"/>
                <w14:textFill>
                  <w14:solidFill>
                    <w14:schemeClr w14:val="tx1"/>
                  </w14:solidFill>
                </w14:textFill>
              </w:rPr>
            </w:pPr>
          </w:p>
        </w:tc>
        <w:tc>
          <w:tcPr>
            <w:tcW w:w="1035" w:type="dxa"/>
            <w:vMerge w:val="continue"/>
            <w:vAlign w:val="center"/>
          </w:tcPr>
          <w:p w14:paraId="1DE62AA7">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eastAsia="zh-CN"/>
                <w14:textFill>
                  <w14:solidFill>
                    <w14:schemeClr w14:val="tx1"/>
                  </w14:solidFill>
                </w14:textFill>
              </w:rPr>
            </w:pPr>
          </w:p>
        </w:tc>
        <w:tc>
          <w:tcPr>
            <w:tcW w:w="1534" w:type="dxa"/>
            <w:vAlign w:val="center"/>
          </w:tcPr>
          <w:p w14:paraId="5E7D2C90">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音乐学科教学论</w:t>
            </w:r>
          </w:p>
        </w:tc>
        <w:tc>
          <w:tcPr>
            <w:tcW w:w="1220" w:type="dxa"/>
            <w:vAlign w:val="center"/>
          </w:tcPr>
          <w:p w14:paraId="671F78F4">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教育学</w:t>
            </w:r>
          </w:p>
        </w:tc>
        <w:tc>
          <w:tcPr>
            <w:tcW w:w="1304" w:type="dxa"/>
            <w:vAlign w:val="center"/>
          </w:tcPr>
          <w:p w14:paraId="309C0ACC">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教育学</w:t>
            </w:r>
          </w:p>
        </w:tc>
        <w:tc>
          <w:tcPr>
            <w:tcW w:w="1195" w:type="dxa"/>
            <w:vMerge w:val="continue"/>
          </w:tcPr>
          <w:p w14:paraId="12D1E5DD">
            <w:pPr>
              <w:keepNext w:val="0"/>
              <w:keepLines w:val="0"/>
              <w:pageBreakBefore w:val="0"/>
              <w:widowControl/>
              <w:kinsoku/>
              <w:wordWrap/>
              <w:overflowPunct/>
              <w:topLinePunct w:val="0"/>
              <w:autoSpaceDE/>
              <w:autoSpaceDN/>
              <w:bidi w:val="0"/>
              <w:adjustRightInd w:val="0"/>
              <w:snapToGrid w:val="0"/>
              <w:jc w:val="both"/>
              <w:textAlignment w:val="auto"/>
              <w:rPr>
                <w:rFonts w:hint="eastAsia" w:ascii="仿宋" w:hAnsi="仿宋" w:eastAsia="仿宋" w:cs="仿宋"/>
                <w:color w:val="000000" w:themeColor="text1"/>
                <w:highlight w:val="none"/>
                <w:lang w:val="en-US"/>
                <w14:textFill>
                  <w14:solidFill>
                    <w14:schemeClr w14:val="tx1"/>
                  </w14:solidFill>
                </w14:textFill>
              </w:rPr>
            </w:pPr>
          </w:p>
        </w:tc>
      </w:tr>
      <w:tr w14:paraId="39DED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952" w:type="dxa"/>
            <w:vMerge w:val="continue"/>
            <w:vAlign w:val="center"/>
          </w:tcPr>
          <w:p w14:paraId="6AE62E92">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eastAsia="zh-CN"/>
                <w14:textFill>
                  <w14:solidFill>
                    <w14:schemeClr w14:val="tx1"/>
                  </w14:solidFill>
                </w14:textFill>
              </w:rPr>
            </w:pPr>
          </w:p>
        </w:tc>
        <w:tc>
          <w:tcPr>
            <w:tcW w:w="937" w:type="dxa"/>
            <w:vMerge w:val="continue"/>
            <w:vAlign w:val="center"/>
          </w:tcPr>
          <w:p w14:paraId="223410E5">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eastAsia="zh-CN"/>
                <w14:textFill>
                  <w14:solidFill>
                    <w14:schemeClr w14:val="tx1"/>
                  </w14:solidFill>
                </w14:textFill>
              </w:rPr>
            </w:pPr>
          </w:p>
        </w:tc>
        <w:tc>
          <w:tcPr>
            <w:tcW w:w="1035" w:type="dxa"/>
            <w:vMerge w:val="continue"/>
            <w:vAlign w:val="center"/>
          </w:tcPr>
          <w:p w14:paraId="70309C1F">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eastAsia="zh-CN"/>
                <w14:textFill>
                  <w14:solidFill>
                    <w14:schemeClr w14:val="tx1"/>
                  </w14:solidFill>
                </w14:textFill>
              </w:rPr>
            </w:pPr>
          </w:p>
        </w:tc>
        <w:tc>
          <w:tcPr>
            <w:tcW w:w="1534" w:type="dxa"/>
            <w:vAlign w:val="center"/>
          </w:tcPr>
          <w:p w14:paraId="3AAE796D">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舞蹈学科教学论</w:t>
            </w:r>
          </w:p>
        </w:tc>
        <w:tc>
          <w:tcPr>
            <w:tcW w:w="1220" w:type="dxa"/>
            <w:vAlign w:val="center"/>
          </w:tcPr>
          <w:p w14:paraId="40E07B51">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教育学</w:t>
            </w:r>
          </w:p>
        </w:tc>
        <w:tc>
          <w:tcPr>
            <w:tcW w:w="1304" w:type="dxa"/>
            <w:vAlign w:val="center"/>
          </w:tcPr>
          <w:p w14:paraId="4F02C0E7">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教育学</w:t>
            </w:r>
          </w:p>
        </w:tc>
        <w:tc>
          <w:tcPr>
            <w:tcW w:w="1195" w:type="dxa"/>
            <w:vMerge w:val="continue"/>
          </w:tcPr>
          <w:p w14:paraId="003390F8">
            <w:pPr>
              <w:keepNext w:val="0"/>
              <w:keepLines w:val="0"/>
              <w:pageBreakBefore w:val="0"/>
              <w:widowControl/>
              <w:kinsoku/>
              <w:wordWrap/>
              <w:overflowPunct/>
              <w:topLinePunct w:val="0"/>
              <w:autoSpaceDE/>
              <w:autoSpaceDN/>
              <w:bidi w:val="0"/>
              <w:adjustRightInd w:val="0"/>
              <w:snapToGrid w:val="0"/>
              <w:jc w:val="both"/>
              <w:textAlignment w:val="auto"/>
              <w:rPr>
                <w:rFonts w:hint="eastAsia" w:ascii="仿宋" w:hAnsi="仿宋" w:eastAsia="仿宋" w:cs="仿宋"/>
                <w:color w:val="000000" w:themeColor="text1"/>
                <w:highlight w:val="none"/>
                <w:lang w:val="en-US"/>
                <w14:textFill>
                  <w14:solidFill>
                    <w14:schemeClr w14:val="tx1"/>
                  </w14:solidFill>
                </w14:textFill>
              </w:rPr>
            </w:pPr>
          </w:p>
        </w:tc>
      </w:tr>
    </w:tbl>
    <w:p w14:paraId="39C2E9FE">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both"/>
        <w:textAlignment w:val="auto"/>
        <w:rPr>
          <w:rFonts w:hint="eastAsia" w:ascii="微软雅黑" w:hAnsi="微软雅黑" w:eastAsia="微软雅黑" w:cs="微软雅黑"/>
          <w:b/>
          <w:bCs/>
          <w:color w:val="A3181D"/>
          <w:sz w:val="32"/>
          <w:szCs w:val="32"/>
          <w:highlight w:val="none"/>
          <w:lang w:val="en-US"/>
        </w:rPr>
      </w:pPr>
      <w:r>
        <w:rPr>
          <w:rFonts w:hint="eastAsia" w:ascii="微软雅黑" w:hAnsi="微软雅黑" w:eastAsia="微软雅黑" w:cs="微软雅黑"/>
          <w:b/>
          <w:bCs/>
          <w:color w:val="A3181D"/>
          <w:sz w:val="32"/>
          <w:szCs w:val="32"/>
          <w:highlight w:val="none"/>
          <w:lang w:val="en-US"/>
        </w:rPr>
        <w:t>四、报名条件</w:t>
      </w:r>
    </w:p>
    <w:p w14:paraId="2B69FE9F">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000000" w:themeColor="text1"/>
          <w:sz w:val="28"/>
          <w:szCs w:val="28"/>
          <w:highlight w:val="none"/>
          <w:shd w:val="clear" w:color="auto" w:fill="FFFFFF"/>
          <w:lang w:val="en-US"/>
          <w14:textFill>
            <w14:solidFill>
              <w14:schemeClr w14:val="tx1"/>
            </w14:solidFill>
          </w14:textFill>
        </w:rPr>
      </w:pP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1.</w:t>
      </w:r>
      <w:r>
        <w:rPr>
          <w:rFonts w:hint="eastAsia" w:ascii="仿宋" w:hAnsi="仿宋" w:eastAsia="仿宋" w:cs="仿宋"/>
          <w:color w:val="000000" w:themeColor="text1"/>
          <w:sz w:val="28"/>
          <w:szCs w:val="28"/>
          <w:highlight w:val="none"/>
          <w:shd w:val="clear" w:color="auto" w:fill="FFFFFF"/>
          <w:lang w:val="en-US"/>
          <w14:textFill>
            <w14:solidFill>
              <w14:schemeClr w14:val="tx1"/>
            </w14:solidFill>
          </w14:textFill>
        </w:rPr>
        <w:t>拥护《中华人民共和国宪法》,遵守法律、法规，品行端正。</w:t>
      </w:r>
    </w:p>
    <w:p w14:paraId="16931B7A">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000000" w:themeColor="text1"/>
          <w:sz w:val="28"/>
          <w:szCs w:val="28"/>
          <w:highlight w:val="none"/>
          <w:shd w:val="clear" w:color="auto" w:fill="FFFFFF"/>
          <w:lang w:val="en-US"/>
          <w14:textFill>
            <w14:solidFill>
              <w14:schemeClr w14:val="tx1"/>
            </w14:solidFill>
          </w14:textFill>
        </w:rPr>
      </w:pP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2.</w:t>
      </w:r>
      <w:r>
        <w:rPr>
          <w:rFonts w:hint="eastAsia" w:ascii="仿宋" w:hAnsi="仿宋" w:eastAsia="仿宋" w:cs="仿宋"/>
          <w:color w:val="000000" w:themeColor="text1"/>
          <w:sz w:val="28"/>
          <w:szCs w:val="28"/>
          <w:highlight w:val="none"/>
          <w:shd w:val="clear" w:color="auto" w:fill="FFFFFF"/>
          <w:lang w:val="en-US"/>
          <w14:textFill>
            <w14:solidFill>
              <w14:schemeClr w14:val="tx1"/>
            </w14:solidFill>
          </w14:textFill>
        </w:rPr>
        <w:t>具有大学本科学历，获得学士学位，并获得学士学位后工作三年以上（</w:t>
      </w: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含</w:t>
      </w:r>
      <w:r>
        <w:rPr>
          <w:rFonts w:hint="eastAsia" w:ascii="仿宋" w:hAnsi="仿宋" w:eastAsia="仿宋" w:cs="仿宋"/>
          <w:color w:val="000000" w:themeColor="text1"/>
          <w:sz w:val="28"/>
          <w:szCs w:val="28"/>
          <w:highlight w:val="none"/>
          <w:shd w:val="clear" w:color="auto" w:fill="FFFFFF"/>
          <w:lang w:val="en-US"/>
          <w14:textFill>
            <w14:solidFill>
              <w14:schemeClr w14:val="tx1"/>
            </w14:solidFill>
          </w14:textFill>
        </w:rPr>
        <w:t>三年）。对已获得的学士学位为国（境）外学位的，其所获的国（境）外学位需经</w:t>
      </w: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教育</w:t>
      </w:r>
      <w:r>
        <w:rPr>
          <w:rFonts w:hint="eastAsia" w:ascii="仿宋" w:hAnsi="仿宋" w:eastAsia="仿宋" w:cs="仿宋"/>
          <w:color w:val="000000" w:themeColor="text1"/>
          <w:sz w:val="28"/>
          <w:szCs w:val="28"/>
          <w:highlight w:val="none"/>
          <w:shd w:val="clear" w:color="auto" w:fill="FFFFFF"/>
          <w:lang w:val="en-US"/>
          <w14:textFill>
            <w14:solidFill>
              <w14:schemeClr w14:val="tx1"/>
            </w14:solidFill>
          </w14:textFill>
        </w:rPr>
        <w:t>部留学服务中心认证。</w:t>
      </w:r>
    </w:p>
    <w:p w14:paraId="69A66F58">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000000" w:themeColor="text1"/>
          <w:sz w:val="28"/>
          <w:szCs w:val="28"/>
          <w:highlight w:val="none"/>
          <w:shd w:val="clear" w:color="auto" w:fill="FFFFFF"/>
          <w:lang w:val="en-US"/>
          <w14:textFill>
            <w14:solidFill>
              <w14:schemeClr w14:val="tx1"/>
            </w14:solidFill>
          </w14:textFill>
        </w:rPr>
      </w:pP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3.</w:t>
      </w:r>
      <w:r>
        <w:rPr>
          <w:rFonts w:hint="eastAsia" w:ascii="仿宋" w:hAnsi="仿宋" w:eastAsia="仿宋" w:cs="仿宋"/>
          <w:color w:val="000000" w:themeColor="text1"/>
          <w:sz w:val="28"/>
          <w:szCs w:val="28"/>
          <w:highlight w:val="none"/>
          <w:shd w:val="clear" w:color="auto" w:fill="FFFFFF"/>
          <w:lang w:val="en-US"/>
          <w14:textFill>
            <w14:solidFill>
              <w14:schemeClr w14:val="tx1"/>
            </w14:solidFill>
          </w14:textFill>
        </w:rPr>
        <w:t>有一定专业基础，在教学、科研、专门技术、管理等方面做出成绩。</w:t>
      </w:r>
    </w:p>
    <w:p w14:paraId="303876B8">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both"/>
        <w:textAlignment w:val="auto"/>
        <w:rPr>
          <w:rFonts w:hint="eastAsia" w:ascii="微软雅黑" w:hAnsi="微软雅黑" w:eastAsia="微软雅黑" w:cs="微软雅黑"/>
          <w:b/>
          <w:bCs/>
          <w:color w:val="A3181D"/>
          <w:sz w:val="32"/>
          <w:szCs w:val="32"/>
          <w:highlight w:val="none"/>
          <w:lang w:val="en-US"/>
        </w:rPr>
      </w:pPr>
      <w:r>
        <w:rPr>
          <w:rFonts w:hint="eastAsia" w:ascii="微软雅黑" w:hAnsi="微软雅黑" w:eastAsia="微软雅黑" w:cs="微软雅黑"/>
          <w:b/>
          <w:bCs/>
          <w:color w:val="A3181D"/>
          <w:sz w:val="32"/>
          <w:szCs w:val="32"/>
          <w:highlight w:val="none"/>
          <w:lang w:val="en-US" w:eastAsia="zh-CN"/>
        </w:rPr>
        <w:t>五</w:t>
      </w:r>
      <w:r>
        <w:rPr>
          <w:rFonts w:hint="eastAsia" w:ascii="微软雅黑" w:hAnsi="微软雅黑" w:eastAsia="微软雅黑" w:cs="微软雅黑"/>
          <w:b/>
          <w:bCs/>
          <w:color w:val="A3181D"/>
          <w:sz w:val="32"/>
          <w:szCs w:val="32"/>
          <w:highlight w:val="none"/>
          <w:lang w:val="en-US"/>
        </w:rPr>
        <w:t>、报名</w:t>
      </w:r>
      <w:r>
        <w:rPr>
          <w:rFonts w:hint="eastAsia" w:ascii="微软雅黑" w:hAnsi="微软雅黑" w:eastAsia="微软雅黑" w:cs="微软雅黑"/>
          <w:b/>
          <w:bCs/>
          <w:color w:val="A3181D"/>
          <w:sz w:val="32"/>
          <w:szCs w:val="32"/>
          <w:highlight w:val="none"/>
          <w:lang w:val="en-US" w:eastAsia="zh-CN"/>
        </w:rPr>
        <w:t>方式</w:t>
      </w:r>
      <w:r>
        <w:rPr>
          <w:rFonts w:hint="eastAsia" w:ascii="微软雅黑" w:hAnsi="微软雅黑" w:eastAsia="微软雅黑" w:cs="微软雅黑"/>
          <w:b/>
          <w:bCs/>
          <w:color w:val="A3181D"/>
          <w:sz w:val="32"/>
          <w:szCs w:val="32"/>
          <w:highlight w:val="none"/>
          <w:lang w:val="en-US"/>
        </w:rPr>
        <w:t>及注意事项</w:t>
      </w:r>
    </w:p>
    <w:p w14:paraId="76673444">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eastAsia" w:ascii="微软雅黑" w:hAnsi="微软雅黑" w:eastAsia="微软雅黑" w:cs="微软雅黑"/>
          <w:b/>
          <w:bCs/>
          <w:color w:val="A3181D"/>
          <w:sz w:val="28"/>
          <w:szCs w:val="28"/>
          <w:highlight w:val="none"/>
          <w:shd w:val="clear" w:color="auto" w:fill="FFFFFF"/>
          <w:lang w:val="en-US"/>
        </w:rPr>
      </w:pPr>
      <w:r>
        <w:rPr>
          <w:rFonts w:hint="eastAsia" w:ascii="微软雅黑" w:hAnsi="微软雅黑" w:eastAsia="微软雅黑" w:cs="微软雅黑"/>
          <w:b/>
          <w:bCs/>
          <w:color w:val="A3181D"/>
          <w:sz w:val="28"/>
          <w:szCs w:val="28"/>
          <w:highlight w:val="none"/>
          <w:shd w:val="clear" w:color="auto" w:fill="FFFFFF"/>
          <w:lang w:val="en-US" w:eastAsia="zh-CN"/>
        </w:rPr>
        <w:t>1.</w:t>
      </w:r>
      <w:r>
        <w:rPr>
          <w:rFonts w:hint="eastAsia" w:ascii="微软雅黑" w:hAnsi="微软雅黑" w:eastAsia="微软雅黑" w:cs="微软雅黑"/>
          <w:b/>
          <w:bCs/>
          <w:color w:val="A3181D"/>
          <w:sz w:val="28"/>
          <w:szCs w:val="28"/>
          <w:highlight w:val="none"/>
          <w:shd w:val="clear" w:color="auto" w:fill="FFFFFF"/>
          <w:lang w:val="en-US"/>
        </w:rPr>
        <w:t>线上报名</w:t>
      </w:r>
    </w:p>
    <w:p w14:paraId="387D477F">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000000" w:themeColor="text1"/>
          <w:sz w:val="28"/>
          <w:szCs w:val="28"/>
          <w:highlight w:val="none"/>
          <w:shd w:val="clear" w:color="auto" w:fill="FFFFFF"/>
          <w:lang w:val="en-US"/>
          <w14:textFill>
            <w14:solidFill>
              <w14:schemeClr w14:val="tx1"/>
            </w14:solidFill>
          </w14:textFill>
        </w:rPr>
      </w:pPr>
      <w:r>
        <w:rPr>
          <w:rFonts w:hint="eastAsia" w:ascii="仿宋" w:hAnsi="仿宋" w:eastAsia="仿宋" w:cs="仿宋"/>
          <w:color w:val="000000" w:themeColor="text1"/>
          <w:sz w:val="28"/>
          <w:szCs w:val="28"/>
          <w:highlight w:val="none"/>
          <w:shd w:val="clear" w:color="auto" w:fill="FFFFFF"/>
          <w:lang w:val="en-US"/>
          <w14:textFill>
            <w14:solidFill>
              <w14:schemeClr w14:val="tx1"/>
            </w14:solidFill>
          </w14:textFill>
        </w:rPr>
        <w:t>申请我校同等学力</w:t>
      </w: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硕士学位</w:t>
      </w:r>
      <w:r>
        <w:rPr>
          <w:rFonts w:hint="eastAsia" w:ascii="仿宋" w:hAnsi="仿宋" w:eastAsia="仿宋" w:cs="仿宋"/>
          <w:color w:val="000000" w:themeColor="text1"/>
          <w:sz w:val="28"/>
          <w:szCs w:val="28"/>
          <w:highlight w:val="none"/>
          <w:shd w:val="clear" w:color="auto" w:fill="FFFFFF"/>
          <w:lang w:val="en-US"/>
          <w14:textFill>
            <w14:solidFill>
              <w14:schemeClr w14:val="tx1"/>
            </w14:solidFill>
          </w14:textFill>
        </w:rPr>
        <w:t>的</w:t>
      </w: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人</w:t>
      </w:r>
      <w:r>
        <w:rPr>
          <w:rFonts w:hint="eastAsia" w:ascii="仿宋" w:hAnsi="仿宋" w:eastAsia="仿宋" w:cs="仿宋"/>
          <w:color w:val="000000" w:themeColor="text1"/>
          <w:sz w:val="28"/>
          <w:szCs w:val="28"/>
          <w:highlight w:val="none"/>
          <w:shd w:val="clear" w:color="auto" w:fill="FFFFFF"/>
          <w:lang w:val="en-US"/>
          <w14:textFill>
            <w14:solidFill>
              <w14:schemeClr w14:val="tx1"/>
            </w14:solidFill>
          </w14:textFill>
        </w:rPr>
        <w:t>员，</w:t>
      </w: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需</w:t>
      </w:r>
      <w:r>
        <w:rPr>
          <w:rFonts w:hint="eastAsia" w:ascii="仿宋" w:hAnsi="仿宋" w:eastAsia="仿宋" w:cs="仿宋"/>
          <w:color w:val="000000" w:themeColor="text1"/>
          <w:sz w:val="28"/>
          <w:szCs w:val="28"/>
          <w:highlight w:val="none"/>
          <w:shd w:val="clear" w:color="auto" w:fill="FFFFFF"/>
          <w:lang w:val="en-US"/>
          <w14:textFill>
            <w14:solidFill>
              <w14:schemeClr w14:val="tx1"/>
            </w14:solidFill>
          </w14:textFill>
        </w:rPr>
        <w:t>填写《山西师范大学同等学力人员申请硕士学位申请表》、《山西师范大学同等学力人员申请硕士学位学习情况表》</w:t>
      </w: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，并将</w:t>
      </w:r>
      <w:r>
        <w:rPr>
          <w:rFonts w:hint="eastAsia" w:ascii="仿宋" w:hAnsi="仿宋" w:eastAsia="仿宋" w:cs="仿宋"/>
          <w:color w:val="000000" w:themeColor="text1"/>
          <w:sz w:val="28"/>
          <w:szCs w:val="28"/>
          <w:highlight w:val="none"/>
          <w:shd w:val="clear" w:color="auto" w:fill="FFFFFF"/>
          <w:lang w:val="en-US"/>
          <w14:textFill>
            <w14:solidFill>
              <w14:schemeClr w14:val="tx1"/>
            </w14:solidFill>
          </w14:textFill>
        </w:rPr>
        <w:t>身份证正反面、学历证书、学位证书、</w:t>
      </w: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小二</w:t>
      </w:r>
      <w:r>
        <w:rPr>
          <w:rFonts w:hint="eastAsia" w:ascii="仿宋" w:hAnsi="仿宋" w:eastAsia="仿宋" w:cs="仿宋"/>
          <w:color w:val="000000" w:themeColor="text1"/>
          <w:sz w:val="28"/>
          <w:szCs w:val="28"/>
          <w:highlight w:val="none"/>
          <w:shd w:val="clear" w:color="auto" w:fill="FFFFFF"/>
          <w:lang w:val="en-US"/>
          <w14:textFill>
            <w14:solidFill>
              <w14:schemeClr w14:val="tx1"/>
            </w14:solidFill>
          </w14:textFill>
        </w:rPr>
        <w:t>寸蓝底照片</w:t>
      </w: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、学位认证报告、学历电子注册备案表</w:t>
      </w:r>
      <w:r>
        <w:rPr>
          <w:rFonts w:hint="eastAsia" w:ascii="仿宋" w:hAnsi="仿宋" w:eastAsia="仿宋" w:cs="仿宋"/>
          <w:color w:val="000000" w:themeColor="text1"/>
          <w:sz w:val="28"/>
          <w:szCs w:val="28"/>
          <w:highlight w:val="none"/>
          <w:shd w:val="clear" w:color="auto" w:fill="FFFFFF"/>
          <w:lang w:val="en-US"/>
          <w14:textFill>
            <w14:solidFill>
              <w14:schemeClr w14:val="tx1"/>
            </w14:solidFill>
          </w14:textFill>
        </w:rPr>
        <w:t>（以上均要电子版）提交</w:t>
      </w: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我院进行报名资格初审</w:t>
      </w:r>
      <w:r>
        <w:rPr>
          <w:rFonts w:hint="eastAsia" w:ascii="仿宋" w:hAnsi="仿宋" w:eastAsia="仿宋" w:cs="仿宋"/>
          <w:color w:val="000000" w:themeColor="text1"/>
          <w:sz w:val="28"/>
          <w:szCs w:val="28"/>
          <w:highlight w:val="none"/>
          <w:shd w:val="clear" w:color="auto" w:fill="FFFFFF"/>
          <w:lang w:val="en-US"/>
          <w14:textFill>
            <w14:solidFill>
              <w14:schemeClr w14:val="tx1"/>
            </w14:solidFill>
          </w14:textFill>
        </w:rPr>
        <w:t>。</w:t>
      </w:r>
    </w:p>
    <w:p w14:paraId="396E9068">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eastAsia" w:ascii="微软雅黑" w:hAnsi="微软雅黑" w:eastAsia="微软雅黑" w:cs="微软雅黑"/>
          <w:b/>
          <w:bCs/>
          <w:color w:val="A3181D"/>
          <w:sz w:val="28"/>
          <w:szCs w:val="28"/>
          <w:highlight w:val="none"/>
          <w:shd w:val="clear" w:color="auto" w:fill="FFFFFF"/>
          <w:lang w:val="en-US" w:eastAsia="zh-CN"/>
        </w:rPr>
      </w:pPr>
      <w:r>
        <w:rPr>
          <w:rFonts w:hint="eastAsia" w:ascii="微软雅黑" w:hAnsi="微软雅黑" w:eastAsia="微软雅黑" w:cs="微软雅黑"/>
          <w:b/>
          <w:bCs/>
          <w:color w:val="A3181D"/>
          <w:sz w:val="28"/>
          <w:szCs w:val="28"/>
          <w:highlight w:val="none"/>
          <w:shd w:val="clear" w:color="auto" w:fill="FFFFFF"/>
          <w:lang w:val="en-US" w:eastAsia="zh-CN"/>
        </w:rPr>
        <w:t>2.现场确认</w:t>
      </w:r>
    </w:p>
    <w:p w14:paraId="56ADB0AF">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000000" w:themeColor="text1"/>
          <w:sz w:val="28"/>
          <w:szCs w:val="28"/>
          <w:highlight w:val="none"/>
          <w:shd w:val="clear" w:color="auto" w:fill="FFFFFF"/>
          <w:lang w:val="en-US"/>
          <w14:textFill>
            <w14:solidFill>
              <w14:schemeClr w14:val="tx1"/>
            </w14:solidFill>
          </w14:textFill>
        </w:rPr>
      </w:pP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经过线上报名且通过资格初审的申请人员需在规定时间内到</w:t>
      </w:r>
      <w:r>
        <w:rPr>
          <w:rFonts w:hint="eastAsia" w:ascii="仿宋" w:hAnsi="仿宋" w:eastAsia="仿宋" w:cs="仿宋"/>
          <w:color w:val="000000" w:themeColor="text1"/>
          <w:sz w:val="28"/>
          <w:szCs w:val="28"/>
          <w:highlight w:val="none"/>
          <w:shd w:val="clear" w:color="auto" w:fill="FFFFFF"/>
          <w:lang w:val="en-US"/>
          <w14:textFill>
            <w14:solidFill>
              <w14:schemeClr w14:val="tx1"/>
            </w14:solidFill>
          </w14:textFill>
        </w:rPr>
        <w:t>学校</w:t>
      </w: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或指定地点进行现场确认，办理照片采集和打印资格审核表</w:t>
      </w:r>
      <w:r>
        <w:rPr>
          <w:rFonts w:hint="eastAsia" w:ascii="仿宋" w:hAnsi="仿宋" w:eastAsia="仿宋" w:cs="仿宋"/>
          <w:color w:val="000000" w:themeColor="text1"/>
          <w:sz w:val="28"/>
          <w:szCs w:val="28"/>
          <w:highlight w:val="none"/>
          <w:shd w:val="clear" w:color="auto" w:fill="FFFFFF"/>
          <w:lang w:val="en-US"/>
          <w14:textFill>
            <w14:solidFill>
              <w14:schemeClr w14:val="tx1"/>
            </w14:solidFill>
          </w14:textFill>
        </w:rPr>
        <w:t>等工作。</w:t>
      </w: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现场确认需</w:t>
      </w:r>
      <w:r>
        <w:rPr>
          <w:rFonts w:hint="eastAsia" w:ascii="仿宋" w:hAnsi="仿宋" w:eastAsia="仿宋" w:cs="仿宋"/>
          <w:color w:val="000000" w:themeColor="text1"/>
          <w:sz w:val="28"/>
          <w:szCs w:val="28"/>
          <w:highlight w:val="none"/>
          <w:shd w:val="clear" w:color="auto" w:fill="FFFFFF"/>
          <w:lang w:val="en-US"/>
          <w14:textFill>
            <w14:solidFill>
              <w14:schemeClr w14:val="tx1"/>
            </w14:solidFill>
          </w14:textFill>
        </w:rPr>
        <w:t>携带以下资料：</w:t>
      </w:r>
    </w:p>
    <w:p w14:paraId="50DA431F">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8"/>
          <w:szCs w:val="28"/>
          <w:highlight w:val="none"/>
          <w:shd w:val="clear" w:color="auto" w:fill="FFFFFF"/>
          <w:lang w:val="en-US"/>
          <w14:textFill>
            <w14:solidFill>
              <w14:schemeClr w14:val="tx1"/>
            </w14:solidFill>
          </w14:textFill>
        </w:rPr>
        <w:t>①《山西师范大学同等学力人员申请硕士学位申请表》</w:t>
      </w: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一式三份；</w:t>
      </w:r>
    </w:p>
    <w:p w14:paraId="0AF68EDC">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②《山西师范大学同等学力申请硕士学位入学须知》，一式两份；</w:t>
      </w:r>
    </w:p>
    <w:p w14:paraId="7ADDB946">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000000" w:themeColor="text1"/>
          <w:sz w:val="28"/>
          <w:szCs w:val="28"/>
          <w:highlight w:val="none"/>
          <w:shd w:val="clear" w:color="auto" w:fill="FFFFFF"/>
          <w:lang w:val="en-US"/>
          <w14:textFill>
            <w14:solidFill>
              <w14:schemeClr w14:val="tx1"/>
            </w14:solidFill>
          </w14:textFill>
        </w:rPr>
      </w:pP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③</w:t>
      </w:r>
      <w:r>
        <w:rPr>
          <w:rFonts w:hint="eastAsia" w:ascii="仿宋" w:hAnsi="仿宋" w:eastAsia="仿宋" w:cs="仿宋"/>
          <w:color w:val="000000" w:themeColor="text1"/>
          <w:sz w:val="28"/>
          <w:szCs w:val="28"/>
          <w:highlight w:val="none"/>
          <w:shd w:val="clear" w:color="auto" w:fill="FFFFFF"/>
          <w:lang w:val="en-US"/>
          <w14:textFill>
            <w14:solidFill>
              <w14:schemeClr w14:val="tx1"/>
            </w14:solidFill>
          </w14:textFill>
        </w:rPr>
        <w:t>学历、学位证书原件及复印件(A4纸复印</w:t>
      </w: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一份</w:t>
      </w:r>
      <w:r>
        <w:rPr>
          <w:rFonts w:hint="eastAsia" w:ascii="仿宋" w:hAnsi="仿宋" w:eastAsia="仿宋" w:cs="仿宋"/>
          <w:color w:val="000000" w:themeColor="text1"/>
          <w:sz w:val="28"/>
          <w:szCs w:val="28"/>
          <w:highlight w:val="none"/>
          <w:shd w:val="clear" w:color="auto" w:fill="FFFFFF"/>
          <w:lang w:val="en-US"/>
          <w14:textFill>
            <w14:solidFill>
              <w14:schemeClr w14:val="tx1"/>
            </w14:solidFill>
          </w14:textFill>
        </w:rPr>
        <w:t>)；</w:t>
      </w:r>
    </w:p>
    <w:p w14:paraId="1D59753D">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仿宋" w:hAnsi="仿宋" w:eastAsia="仿宋" w:cs="仿宋"/>
          <w:color w:val="000000" w:themeColor="text1"/>
          <w:sz w:val="28"/>
          <w:szCs w:val="28"/>
          <w:highlight w:val="none"/>
          <w:shd w:val="clear" w:color="auto" w:fill="FFFFFF"/>
          <w:lang w:val="en-US"/>
          <w14:textFill>
            <w14:solidFill>
              <w14:schemeClr w14:val="tx1"/>
            </w14:solidFill>
          </w14:textFill>
        </w:rPr>
      </w:pP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④学位认证报告、学历电子注册备案表；</w:t>
      </w:r>
    </w:p>
    <w:p w14:paraId="7292AD1E">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000000" w:themeColor="text1"/>
          <w:sz w:val="28"/>
          <w:szCs w:val="28"/>
          <w:highlight w:val="none"/>
          <w:shd w:val="clear" w:color="auto" w:fill="FFFFFF"/>
          <w:lang w:val="en-US"/>
          <w14:textFill>
            <w14:solidFill>
              <w14:schemeClr w14:val="tx1"/>
            </w14:solidFill>
          </w14:textFill>
        </w:rPr>
      </w:pP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⑤</w:t>
      </w:r>
      <w:r>
        <w:rPr>
          <w:rFonts w:hint="eastAsia" w:ascii="仿宋" w:hAnsi="仿宋" w:eastAsia="仿宋" w:cs="仿宋"/>
          <w:color w:val="000000" w:themeColor="text1"/>
          <w:sz w:val="28"/>
          <w:szCs w:val="28"/>
          <w:highlight w:val="none"/>
          <w:shd w:val="clear" w:color="auto" w:fill="FFFFFF"/>
          <w:lang w:val="en-US"/>
          <w14:textFill>
            <w14:solidFill>
              <w14:schemeClr w14:val="tx1"/>
            </w14:solidFill>
          </w14:textFill>
        </w:rPr>
        <w:t>身份证原件及复印件(A4纸复印)；</w:t>
      </w:r>
    </w:p>
    <w:p w14:paraId="5DD4E9E0">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both"/>
        <w:textAlignment w:val="auto"/>
        <w:rPr>
          <w:rFonts w:hint="default" w:ascii="微软雅黑" w:hAnsi="微软雅黑" w:eastAsia="微软雅黑" w:cs="微软雅黑"/>
          <w:b/>
          <w:bCs/>
          <w:color w:val="A3181D"/>
          <w:sz w:val="32"/>
          <w:szCs w:val="32"/>
          <w:highlight w:val="none"/>
          <w:lang w:val="en-US" w:eastAsia="zh-CN"/>
        </w:rPr>
      </w:pPr>
      <w:r>
        <w:rPr>
          <w:rFonts w:hint="eastAsia" w:ascii="微软雅黑" w:hAnsi="微软雅黑" w:eastAsia="微软雅黑" w:cs="微软雅黑"/>
          <w:b/>
          <w:bCs/>
          <w:color w:val="A3181D"/>
          <w:sz w:val="32"/>
          <w:szCs w:val="32"/>
          <w:highlight w:val="none"/>
          <w:lang w:val="en-US" w:eastAsia="zh-CN"/>
        </w:rPr>
        <w:t>六</w:t>
      </w:r>
      <w:r>
        <w:rPr>
          <w:rFonts w:hint="eastAsia" w:ascii="微软雅黑" w:hAnsi="微软雅黑" w:eastAsia="微软雅黑" w:cs="微软雅黑"/>
          <w:b/>
          <w:bCs/>
          <w:color w:val="A3181D"/>
          <w:sz w:val="32"/>
          <w:szCs w:val="32"/>
          <w:highlight w:val="none"/>
          <w:lang w:val="en-US"/>
        </w:rPr>
        <w:t>、</w:t>
      </w:r>
      <w:r>
        <w:rPr>
          <w:rFonts w:hint="eastAsia" w:ascii="微软雅黑" w:hAnsi="微软雅黑" w:eastAsia="微软雅黑" w:cs="微软雅黑"/>
          <w:b/>
          <w:bCs/>
          <w:color w:val="A3181D"/>
          <w:sz w:val="32"/>
          <w:szCs w:val="32"/>
          <w:highlight w:val="none"/>
          <w:lang w:val="en-US" w:eastAsia="zh-CN"/>
        </w:rPr>
        <w:t>培养方式</w:t>
      </w:r>
    </w:p>
    <w:p w14:paraId="342A1E1D">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仿宋" w:hAnsi="仿宋" w:eastAsia="仿宋" w:cs="仿宋"/>
          <w:color w:val="000000" w:themeColor="text1"/>
          <w:sz w:val="28"/>
          <w:szCs w:val="28"/>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采取线下集中授课和线上网络学习平台集中研修相结合的学习方式，完成课程学习、学位论文和申请学位等环节的学习任务。</w:t>
      </w:r>
    </w:p>
    <w:p w14:paraId="4E91A141">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微软雅黑" w:hAnsi="微软雅黑" w:eastAsia="微软雅黑" w:cs="微软雅黑"/>
          <w:b/>
          <w:bCs/>
          <w:color w:val="A3181D"/>
          <w:sz w:val="28"/>
          <w:szCs w:val="28"/>
          <w:highlight w:val="none"/>
          <w:lang w:val="en-US"/>
        </w:rPr>
      </w:pPr>
      <w:r>
        <w:rPr>
          <w:rFonts w:hint="eastAsia" w:ascii="微软雅黑" w:hAnsi="微软雅黑" w:eastAsia="微软雅黑" w:cs="微软雅黑"/>
          <w:b/>
          <w:bCs/>
          <w:color w:val="A3181D"/>
          <w:sz w:val="28"/>
          <w:szCs w:val="28"/>
          <w:highlight w:val="none"/>
          <w:lang w:val="en-US" w:eastAsia="zh-CN"/>
        </w:rPr>
        <w:t>1.</w:t>
      </w:r>
      <w:r>
        <w:rPr>
          <w:rFonts w:hint="eastAsia" w:ascii="微软雅黑" w:hAnsi="微软雅黑" w:eastAsia="微软雅黑" w:cs="微软雅黑"/>
          <w:b/>
          <w:bCs/>
          <w:color w:val="A3181D"/>
          <w:sz w:val="28"/>
          <w:szCs w:val="28"/>
          <w:highlight w:val="none"/>
          <w:lang w:val="en-US"/>
        </w:rPr>
        <w:t>课程</w:t>
      </w:r>
      <w:r>
        <w:rPr>
          <w:rFonts w:hint="eastAsia" w:ascii="微软雅黑" w:hAnsi="微软雅黑" w:eastAsia="微软雅黑" w:cs="微软雅黑"/>
          <w:b/>
          <w:bCs/>
          <w:color w:val="A3181D"/>
          <w:sz w:val="28"/>
          <w:szCs w:val="28"/>
          <w:highlight w:val="none"/>
          <w:lang w:val="en-US" w:eastAsia="zh-CN"/>
        </w:rPr>
        <w:t>学习</w:t>
      </w:r>
    </w:p>
    <w:p w14:paraId="567CD8FA">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①资格审核通过，确定开班时间后进入课程学习阶段。课程学习科目、考核方式等参考我校相应专业的全日制学硕研究生培养方案。</w:t>
      </w:r>
    </w:p>
    <w:p w14:paraId="761A3E3A">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②申请人修完培养方案规定的课程，且考核合格后，可获得山西师范大学颁发的同等学力人员申请硕士学位课程水平认定证书（结业证书）。</w:t>
      </w:r>
    </w:p>
    <w:p w14:paraId="3EBE3021">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③申请人自通过资格审查之日起，必须在四年内通过我校课程学习考核，超期未完成者，本次申请无效。</w:t>
      </w:r>
    </w:p>
    <w:p w14:paraId="173D3093">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微软雅黑" w:hAnsi="微软雅黑" w:eastAsia="微软雅黑" w:cs="微软雅黑"/>
          <w:b/>
          <w:bCs/>
          <w:color w:val="A3181D"/>
          <w:sz w:val="28"/>
          <w:szCs w:val="28"/>
          <w:highlight w:val="none"/>
          <w:lang w:val="en-US" w:eastAsia="zh-CN"/>
        </w:rPr>
      </w:pPr>
      <w:r>
        <w:rPr>
          <w:rFonts w:hint="eastAsia" w:ascii="微软雅黑" w:hAnsi="微软雅黑" w:eastAsia="微软雅黑" w:cs="微软雅黑"/>
          <w:b/>
          <w:bCs/>
          <w:color w:val="A3181D"/>
          <w:sz w:val="28"/>
          <w:szCs w:val="28"/>
          <w:highlight w:val="none"/>
          <w:lang w:val="en-US" w:eastAsia="zh-CN"/>
        </w:rPr>
        <w:t>2.全国统考</w:t>
      </w:r>
    </w:p>
    <w:p w14:paraId="24B012A1">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①同等学力人员申请硕士学位全国统一考试每年一次，由国家统一组织。统考报名时间在当年3月，考试时间一般在当年5月的第三周周末。考试科目为外国语和学科综合（部分专业无学科综合水平考试），两科目考试试卷满分均为100分，60分及以上为通过。</w:t>
      </w:r>
    </w:p>
    <w:p w14:paraId="044D8FB1">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②申请人自通过资格审查之日起，必须在四年内通过全国同等学力人员申请硕士学位外国语水平及学科综合水平全国统一考试，超期未完成者，本次申请无效。</w:t>
      </w:r>
    </w:p>
    <w:p w14:paraId="35BC2E98">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微软雅黑" w:hAnsi="微软雅黑" w:eastAsia="微软雅黑" w:cs="微软雅黑"/>
          <w:b/>
          <w:bCs/>
          <w:color w:val="A3181D"/>
          <w:sz w:val="28"/>
          <w:szCs w:val="28"/>
          <w:highlight w:val="none"/>
          <w:lang w:val="en-US" w:eastAsia="zh-CN"/>
        </w:rPr>
      </w:pPr>
      <w:r>
        <w:rPr>
          <w:rFonts w:hint="eastAsia" w:ascii="微软雅黑" w:hAnsi="微软雅黑" w:eastAsia="微软雅黑" w:cs="微软雅黑"/>
          <w:b/>
          <w:bCs/>
          <w:color w:val="A3181D"/>
          <w:sz w:val="28"/>
          <w:szCs w:val="28"/>
          <w:highlight w:val="none"/>
          <w:lang w:val="en-US" w:eastAsia="zh-CN"/>
        </w:rPr>
        <w:t>3.学位论文</w:t>
      </w:r>
    </w:p>
    <w:p w14:paraId="614633E3">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eastAsia" w:ascii="宋体" w:hAnsi="宋体" w:eastAsia="宋体" w:cs="宋体"/>
          <w:color w:val="000000" w:themeColor="text1"/>
          <w:sz w:val="28"/>
          <w:szCs w:val="28"/>
          <w:highlight w:val="none"/>
          <w:lang w:val="en-US"/>
          <w14:textFill>
            <w14:solidFill>
              <w14:schemeClr w14:val="tx1"/>
            </w14:solidFill>
          </w14:textFill>
        </w:rPr>
      </w:pP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自通过我校课程学习考核以及全国同等学力人员申请硕士学位全国统一考试之日起，申请人需在一年内提出学位论文申请，在提交论文后的半年内完成论文答辩并通过。论文答辩未通过，但论文答辩委员会建议修改论文再重新答辩者，可在半年后至一年内重新答辩一次，答辩仍未通过者或逾期未申请者，本次申请无效。</w:t>
      </w:r>
    </w:p>
    <w:p w14:paraId="09481E93">
      <w:pPr>
        <w:keepNext w:val="0"/>
        <w:keepLines w:val="0"/>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default" w:ascii="微软雅黑" w:hAnsi="微软雅黑" w:eastAsia="微软雅黑" w:cs="微软雅黑"/>
          <w:b/>
          <w:bCs/>
          <w:color w:val="A3181D"/>
          <w:sz w:val="28"/>
          <w:szCs w:val="28"/>
          <w:highlight w:val="none"/>
          <w:lang w:val="en-US" w:eastAsia="zh-CN"/>
        </w:rPr>
      </w:pPr>
      <w:r>
        <w:rPr>
          <w:rFonts w:hint="eastAsia" w:ascii="微软雅黑" w:hAnsi="微软雅黑" w:eastAsia="微软雅黑" w:cs="微软雅黑"/>
          <w:b/>
          <w:bCs/>
          <w:color w:val="A3181D"/>
          <w:sz w:val="28"/>
          <w:szCs w:val="28"/>
          <w:highlight w:val="none"/>
          <w:lang w:val="en-US" w:eastAsia="zh-CN"/>
        </w:rPr>
        <w:t>4.学位授予</w:t>
      </w:r>
    </w:p>
    <w:p w14:paraId="2BFC0BE9">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default" w:ascii="仿宋" w:hAnsi="仿宋" w:eastAsia="仿宋" w:cs="仿宋"/>
          <w:color w:val="000000" w:themeColor="text1"/>
          <w:sz w:val="28"/>
          <w:szCs w:val="28"/>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同等学力申请硕士学位人员需完成相应专业学习计划，通过国家组织的统一考试，按照要求完成学位论文且答辩通过符合条件的学员，可以按照《国务院学位委员会关于授予具有研究生毕业同等学力人员硕士、博士学位的规定》和山西师范大学相关规定，申请授予山西师范大学硕士学位 。</w:t>
      </w:r>
    </w:p>
    <w:p w14:paraId="55C54E43">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both"/>
        <w:textAlignment w:val="auto"/>
        <w:rPr>
          <w:rFonts w:hint="eastAsia" w:ascii="微软雅黑" w:hAnsi="微软雅黑" w:eastAsia="微软雅黑" w:cs="微软雅黑"/>
          <w:b/>
          <w:bCs/>
          <w:color w:val="A3181D"/>
          <w:sz w:val="32"/>
          <w:szCs w:val="32"/>
          <w:highlight w:val="none"/>
          <w:lang w:val="en-US"/>
        </w:rPr>
      </w:pPr>
      <w:r>
        <w:rPr>
          <w:rFonts w:hint="eastAsia" w:ascii="微软雅黑" w:hAnsi="微软雅黑" w:eastAsia="微软雅黑" w:cs="微软雅黑"/>
          <w:b/>
          <w:bCs/>
          <w:color w:val="A3181D"/>
          <w:sz w:val="32"/>
          <w:szCs w:val="32"/>
          <w:highlight w:val="none"/>
          <w:lang w:val="en-US" w:eastAsia="zh-CN"/>
        </w:rPr>
        <w:t>七</w:t>
      </w:r>
      <w:r>
        <w:rPr>
          <w:rFonts w:hint="eastAsia" w:ascii="微软雅黑" w:hAnsi="微软雅黑" w:eastAsia="微软雅黑" w:cs="微软雅黑"/>
          <w:b/>
          <w:bCs/>
          <w:color w:val="A3181D"/>
          <w:sz w:val="32"/>
          <w:szCs w:val="32"/>
          <w:highlight w:val="none"/>
          <w:lang w:val="en-US"/>
        </w:rPr>
        <w:t xml:space="preserve">、其他事项 </w:t>
      </w:r>
    </w:p>
    <w:p w14:paraId="7861797F">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1.申请人提交的学历证书、学位证书、论文、专著等必须真实有效，凡弄虚作假者，一经查实，立即取消申请资格。</w:t>
      </w:r>
    </w:p>
    <w:p w14:paraId="0DD801A8">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2.申请人因个人原因中止学习，须由本人向我校提交中止学习申请书，经批准后办理相关手续，所交费用不予退还。</w:t>
      </w:r>
    </w:p>
    <w:p w14:paraId="053DAA0A">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3.自本简章发布到资格复核前，如遇国家政策变动，以最新国家政策为准。</w:t>
      </w:r>
    </w:p>
    <w:p w14:paraId="361C8839">
      <w:pPr>
        <w:keepNext w:val="0"/>
        <w:keepLines w:val="0"/>
        <w:pageBreakBefore w:val="0"/>
        <w:widowControl/>
        <w:kinsoku/>
        <w:wordWrap/>
        <w:overflowPunct/>
        <w:topLinePunct w:val="0"/>
        <w:autoSpaceDE/>
        <w:autoSpaceDN/>
        <w:bidi w:val="0"/>
        <w:adjustRightInd/>
        <w:snapToGrid/>
        <w:spacing w:before="157" w:beforeLines="50" w:after="157" w:afterLines="50" w:line="360" w:lineRule="auto"/>
        <w:jc w:val="both"/>
        <w:textAlignment w:val="auto"/>
        <w:rPr>
          <w:rFonts w:hint="eastAsia" w:ascii="微软雅黑" w:hAnsi="微软雅黑" w:eastAsia="微软雅黑" w:cs="微软雅黑"/>
          <w:b/>
          <w:bCs/>
          <w:color w:val="A3181D"/>
          <w:sz w:val="32"/>
          <w:szCs w:val="32"/>
          <w:highlight w:val="none"/>
          <w:lang w:val="en-US" w:eastAsia="zh-CN"/>
        </w:rPr>
      </w:pPr>
      <w:r>
        <w:rPr>
          <w:rFonts w:hint="eastAsia" w:ascii="微软雅黑" w:hAnsi="微软雅黑" w:eastAsia="微软雅黑" w:cs="微软雅黑"/>
          <w:b/>
          <w:bCs/>
          <w:color w:val="A3181D"/>
          <w:sz w:val="32"/>
          <w:szCs w:val="32"/>
          <w:highlight w:val="none"/>
          <w:lang w:val="en-US" w:eastAsia="zh-CN"/>
        </w:rPr>
        <w:t>八、联系方式及地址</w:t>
      </w:r>
    </w:p>
    <w:p w14:paraId="12AC47CF">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 xml:space="preserve">1.联系方式：南老师0351-2051321/2051315 联系电话：19935197630 </w:t>
      </w:r>
    </w:p>
    <w:p w14:paraId="1E710E93">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2.报名资料接收邮箱：sxsf@masterol.cn</w:t>
      </w:r>
    </w:p>
    <w:p w14:paraId="25B55356">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3.报名地址：山西省太原市太榆路339号山西师范大学北校区4号办公楼118室</w:t>
      </w:r>
    </w:p>
    <w:p w14:paraId="4F9F5DDD">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热烈欢迎广大有志之士到我校学习！</w:t>
      </w:r>
    </w:p>
    <w:sectPr>
      <w:headerReference r:id="rId3" w:type="default"/>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E3C56">
    <w:pPr>
      <w:pStyle w:val="3"/>
      <w:wordWrap w:val="0"/>
      <w:jc w:val="right"/>
      <w:rPr>
        <w:rFonts w:hint="default" w:eastAsia="宋体"/>
        <w:lang w:val="en-US" w:eastAsia="zh-CN"/>
      </w:rPr>
    </w:pPr>
    <w:r>
      <w:rPr>
        <w:rFonts w:hint="eastAsia" w:eastAsia="宋体"/>
        <w:lang w:eastAsia="zh-CN"/>
      </w:rPr>
      <w:drawing>
        <wp:inline distT="0" distB="0" distL="114300" distR="114300">
          <wp:extent cx="1467485" cy="339090"/>
          <wp:effectExtent l="0" t="0" r="5715" b="3810"/>
          <wp:docPr id="1" name="图片 1" descr="师范酒红-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师范酒红-横"/>
                  <pic:cNvPicPr>
                    <a:picLocks noChangeAspect="1"/>
                  </pic:cNvPicPr>
                </pic:nvPicPr>
                <pic:blipFill>
                  <a:blip r:embed="rId1"/>
                  <a:stretch>
                    <a:fillRect/>
                  </a:stretch>
                </pic:blipFill>
                <pic:spPr>
                  <a:xfrm>
                    <a:off x="0" y="0"/>
                    <a:ext cx="1467485" cy="339090"/>
                  </a:xfrm>
                  <a:prstGeom prst="rect">
                    <a:avLst/>
                  </a:prstGeom>
                  <a:noFill/>
                  <a:ln>
                    <a:noFill/>
                  </a:ln>
                </pic:spPr>
              </pic:pic>
            </a:graphicData>
          </a:graphic>
        </wp:inline>
      </w:drawing>
    </w:r>
  </w:p>
  <w:p w14:paraId="5959ACF5">
    <w:pPr>
      <w:pStyle w:val="3"/>
      <w:jc w:val="right"/>
      <w:rPr>
        <w:rFonts w:hint="eastAsia" w:eastAsia="宋体"/>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7C641549"/>
    <w:rsid w:val="000134FC"/>
    <w:rsid w:val="000366EE"/>
    <w:rsid w:val="00042D35"/>
    <w:rsid w:val="000D6B5E"/>
    <w:rsid w:val="000E0D38"/>
    <w:rsid w:val="000E6380"/>
    <w:rsid w:val="000F3F58"/>
    <w:rsid w:val="001F1336"/>
    <w:rsid w:val="00291521"/>
    <w:rsid w:val="0034737D"/>
    <w:rsid w:val="00384234"/>
    <w:rsid w:val="003A2D43"/>
    <w:rsid w:val="003F2054"/>
    <w:rsid w:val="004121D3"/>
    <w:rsid w:val="00445818"/>
    <w:rsid w:val="00501C38"/>
    <w:rsid w:val="005567DB"/>
    <w:rsid w:val="006C344A"/>
    <w:rsid w:val="006D4B7E"/>
    <w:rsid w:val="00781342"/>
    <w:rsid w:val="007A12A3"/>
    <w:rsid w:val="007D18C1"/>
    <w:rsid w:val="0085791E"/>
    <w:rsid w:val="008D2C10"/>
    <w:rsid w:val="009613E6"/>
    <w:rsid w:val="009E378A"/>
    <w:rsid w:val="00A942CF"/>
    <w:rsid w:val="00AC5C65"/>
    <w:rsid w:val="00B87310"/>
    <w:rsid w:val="00BE64DB"/>
    <w:rsid w:val="00C424A0"/>
    <w:rsid w:val="00CC5AC0"/>
    <w:rsid w:val="00D366B8"/>
    <w:rsid w:val="00DC262F"/>
    <w:rsid w:val="00E00882"/>
    <w:rsid w:val="00E81A08"/>
    <w:rsid w:val="00F40AE4"/>
    <w:rsid w:val="00FB338E"/>
    <w:rsid w:val="00FF4659"/>
    <w:rsid w:val="04071D3E"/>
    <w:rsid w:val="0465317F"/>
    <w:rsid w:val="06C119B0"/>
    <w:rsid w:val="06EA2395"/>
    <w:rsid w:val="109F2E6E"/>
    <w:rsid w:val="110A6CE9"/>
    <w:rsid w:val="114A79B7"/>
    <w:rsid w:val="13265876"/>
    <w:rsid w:val="1362506F"/>
    <w:rsid w:val="13A66F6A"/>
    <w:rsid w:val="14AC4D24"/>
    <w:rsid w:val="15190859"/>
    <w:rsid w:val="16BE1602"/>
    <w:rsid w:val="17AE6D6D"/>
    <w:rsid w:val="18CD5448"/>
    <w:rsid w:val="1CA94BE3"/>
    <w:rsid w:val="1CE94B42"/>
    <w:rsid w:val="1FD61FB0"/>
    <w:rsid w:val="20C64068"/>
    <w:rsid w:val="23423C46"/>
    <w:rsid w:val="237C2E6E"/>
    <w:rsid w:val="241C6655"/>
    <w:rsid w:val="26165972"/>
    <w:rsid w:val="27A769B3"/>
    <w:rsid w:val="29672521"/>
    <w:rsid w:val="2AE26E3B"/>
    <w:rsid w:val="2D925252"/>
    <w:rsid w:val="2EA876F4"/>
    <w:rsid w:val="31896FFB"/>
    <w:rsid w:val="36EE59D9"/>
    <w:rsid w:val="38B82949"/>
    <w:rsid w:val="38C8225A"/>
    <w:rsid w:val="3ABB4A52"/>
    <w:rsid w:val="3B950780"/>
    <w:rsid w:val="3C1B0D1F"/>
    <w:rsid w:val="3E9355CF"/>
    <w:rsid w:val="3EEB0564"/>
    <w:rsid w:val="3FB257D8"/>
    <w:rsid w:val="455C2440"/>
    <w:rsid w:val="45B11A15"/>
    <w:rsid w:val="48590799"/>
    <w:rsid w:val="49CB1772"/>
    <w:rsid w:val="4CC30ED8"/>
    <w:rsid w:val="50257CE8"/>
    <w:rsid w:val="53D21621"/>
    <w:rsid w:val="55A46C6D"/>
    <w:rsid w:val="563F761F"/>
    <w:rsid w:val="56B711AB"/>
    <w:rsid w:val="58FC38B7"/>
    <w:rsid w:val="5A447AB1"/>
    <w:rsid w:val="5AFA3A2D"/>
    <w:rsid w:val="5ECE7727"/>
    <w:rsid w:val="62385661"/>
    <w:rsid w:val="6243730F"/>
    <w:rsid w:val="65155ACE"/>
    <w:rsid w:val="65C60B41"/>
    <w:rsid w:val="676A3F5A"/>
    <w:rsid w:val="68183954"/>
    <w:rsid w:val="69095666"/>
    <w:rsid w:val="6A1E7B87"/>
    <w:rsid w:val="6AA73EA4"/>
    <w:rsid w:val="6ADA4011"/>
    <w:rsid w:val="6B5D774C"/>
    <w:rsid w:val="6CE4306D"/>
    <w:rsid w:val="6DBE53FE"/>
    <w:rsid w:val="70F66138"/>
    <w:rsid w:val="7139645B"/>
    <w:rsid w:val="71F7347A"/>
    <w:rsid w:val="73F9151A"/>
    <w:rsid w:val="74C50E20"/>
    <w:rsid w:val="75F47024"/>
    <w:rsid w:val="77115B7C"/>
    <w:rsid w:val="77513B2A"/>
    <w:rsid w:val="79333594"/>
    <w:rsid w:val="7B800291"/>
    <w:rsid w:val="7BBE727E"/>
    <w:rsid w:val="7C641549"/>
    <w:rsid w:val="7CD93109"/>
    <w:rsid w:val="7E77353E"/>
    <w:rsid w:val="7EC45697"/>
    <w:rsid w:val="7F5D4DD6"/>
    <w:rsid w:val="7FBA4BD6"/>
    <w:rsid w:val="B07D0A23"/>
    <w:rsid w:val="CF6EC25E"/>
    <w:rsid w:val="FFDEDC2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qFormat="1" w:unhideWhenUsed="0" w:uiPriority="9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 w:hAnsi="??" w:eastAsia="宋体" w:cs="??"/>
      <w:color w:val="000000"/>
      <w:kern w:val="0"/>
      <w:sz w:val="24"/>
      <w:szCs w:val="24"/>
      <w:lang w:val="zh-CN" w:eastAsia="zh-CN" w:bidi="ar-SA"/>
    </w:rPr>
  </w:style>
  <w:style w:type="character" w:default="1" w:styleId="7">
    <w:name w:val="Default Paragraph Font"/>
    <w:autoRedefine/>
    <w:semiHidden/>
    <w:qFormat/>
    <w:uiPriority w:val="99"/>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qFormat/>
    <w:uiPriority w:val="99"/>
    <w:pPr>
      <w:tabs>
        <w:tab w:val="center" w:pos="4153"/>
        <w:tab w:val="right" w:pos="8306"/>
      </w:tabs>
      <w:snapToGrid w:val="0"/>
    </w:pPr>
    <w:rPr>
      <w:sz w:val="18"/>
      <w:szCs w:val="18"/>
    </w:rPr>
  </w:style>
  <w:style w:type="paragraph" w:styleId="3">
    <w:name w:val="header"/>
    <w:basedOn w:val="1"/>
    <w:link w:val="11"/>
    <w:autoRedefine/>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99"/>
    <w:pPr>
      <w:spacing w:beforeAutospacing="1" w:afterAutospacing="1"/>
    </w:pPr>
    <w:rPr>
      <w:lang w:val="en-US"/>
    </w:rPr>
  </w:style>
  <w:style w:type="table" w:styleId="6">
    <w:name w:val="Table Grid"/>
    <w:basedOn w:val="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autoRedefine/>
    <w:qFormat/>
    <w:uiPriority w:val="99"/>
    <w:rPr>
      <w:b/>
      <w:bCs/>
    </w:rPr>
  </w:style>
  <w:style w:type="character" w:styleId="9">
    <w:name w:val="Hyperlink"/>
    <w:basedOn w:val="7"/>
    <w:autoRedefine/>
    <w:qFormat/>
    <w:uiPriority w:val="99"/>
    <w:rPr>
      <w:color w:val="0000FF"/>
      <w:u w:val="single"/>
    </w:rPr>
  </w:style>
  <w:style w:type="character" w:customStyle="1" w:styleId="10">
    <w:name w:val="Footer Char"/>
    <w:basedOn w:val="7"/>
    <w:link w:val="2"/>
    <w:autoRedefine/>
    <w:qFormat/>
    <w:locked/>
    <w:uiPriority w:val="99"/>
    <w:rPr>
      <w:rFonts w:ascii="??" w:hAnsi="??" w:cs="??"/>
      <w:color w:val="000000"/>
      <w:sz w:val="18"/>
      <w:szCs w:val="18"/>
      <w:lang w:val="zh-CN"/>
    </w:rPr>
  </w:style>
  <w:style w:type="character" w:customStyle="1" w:styleId="11">
    <w:name w:val="Header Char"/>
    <w:basedOn w:val="7"/>
    <w:link w:val="3"/>
    <w:qFormat/>
    <w:locked/>
    <w:uiPriority w:val="99"/>
    <w:rPr>
      <w:rFonts w:ascii="??" w:hAnsi="??" w:cs="??"/>
      <w:color w:val="000000"/>
      <w:sz w:val="18"/>
      <w:szCs w:val="18"/>
      <w:lang w:val="zh-CN"/>
    </w:rPr>
  </w:style>
  <w:style w:type="paragraph" w:customStyle="1" w:styleId="12">
    <w:name w:val="标题 #1"/>
    <w:basedOn w:val="1"/>
    <w:autoRedefine/>
    <w:qFormat/>
    <w:uiPriority w:val="99"/>
    <w:pPr>
      <w:shd w:val="clear" w:color="auto" w:fill="FFFFFF"/>
      <w:spacing w:before="1440" w:after="840" w:line="240" w:lineRule="atLeast"/>
      <w:jc w:val="distribute"/>
      <w:outlineLvl w:val="0"/>
    </w:pPr>
    <w:rPr>
      <w:rFonts w:ascii="微软雅黑" w:hAnsi="微软雅黑" w:eastAsia="微软雅黑" w:cs="微软雅黑"/>
      <w:spacing w:val="50"/>
      <w:sz w:val="38"/>
      <w:szCs w:val="38"/>
    </w:rPr>
  </w:style>
  <w:style w:type="paragraph" w:customStyle="1" w:styleId="13">
    <w:name w:val="正文文本 (2)"/>
    <w:basedOn w:val="1"/>
    <w:autoRedefine/>
    <w:qFormat/>
    <w:uiPriority w:val="99"/>
    <w:pPr>
      <w:shd w:val="clear" w:color="auto" w:fill="FFFFFF"/>
      <w:spacing w:before="840" w:after="60" w:line="624" w:lineRule="exact"/>
      <w:jc w:val="distribute"/>
    </w:pPr>
    <w:rPr>
      <w:rFonts w:ascii="微软雅黑" w:hAnsi="微软雅黑" w:eastAsia="微软雅黑" w:cs="微软雅黑"/>
      <w:spacing w:val="30"/>
      <w:sz w:val="28"/>
      <w:szCs w:val="28"/>
    </w:rPr>
  </w:style>
  <w:style w:type="character" w:customStyle="1" w:styleId="14">
    <w:name w:val="apple-converted-space"/>
    <w:basedOn w:val="7"/>
    <w:autoRedefine/>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P R C</Company>
  <Pages>5</Pages>
  <Words>989</Words>
  <Characters>1034</Characters>
  <Lines>0</Lines>
  <Paragraphs>0</Paragraphs>
  <TotalTime>34</TotalTime>
  <ScaleCrop>false</ScaleCrop>
  <LinksUpToDate>false</LinksUpToDate>
  <CharactersWithSpaces>1034</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2021-10-31T16:46:00Z</dcterms:created>
  <dc:creator>Administrator</dc:creator>
  <cp:lastModifiedBy>Nan</cp:lastModifiedBy>
  <dcterms:modified xsi:type="dcterms:W3CDTF">2025-10-11T08:11:12Z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C9933D55D29549E48881343B3738C1BB_13</vt:lpwstr>
  </property>
  <property fmtid="{D5CDD505-2E9C-101B-9397-08002B2CF9AE}" pid="4" name="KSOTemplateDocerSaveRecord">
    <vt:lpwstr>eyJoZGlkIjoiN2YzNjBkOTgyNWQ1YTMxYzM3MzMwNWFiODNmOWIzYWMiLCJ1c2VySWQiOiIyNzczMzQ3MzkifQ==</vt:lpwstr>
  </property>
</Properties>
</file>