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47DB">
      <w:pPr>
        <w:shd w:val="clear"/>
        <w:spacing w:beforeLines="50" w:afterLines="50" w:line="360" w:lineRule="auto"/>
        <w:jc w:val="center"/>
        <w:rPr>
          <w:rFonts w:ascii="微软雅黑" w:hAnsi="微软雅黑" w:eastAsia="微软雅黑" w:cs="微软雅黑"/>
          <w:b/>
          <w:bCs/>
          <w:color w:val="84000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</w:rPr>
        <w:t>东华理工大学</w:t>
      </w: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  <w:lang w:val="en-US" w:eastAsia="zh-CN"/>
        </w:rPr>
        <w:t>土木工程</w:t>
      </w:r>
      <w:r>
        <w:rPr>
          <w:rFonts w:hint="eastAsia" w:ascii="微软雅黑" w:hAnsi="微软雅黑" w:eastAsia="微软雅黑" w:cs="微软雅黑"/>
          <w:b/>
          <w:bCs/>
          <w:color w:val="840000"/>
          <w:sz w:val="36"/>
          <w:szCs w:val="36"/>
        </w:rPr>
        <w:t>专业招生简章</w:t>
      </w:r>
    </w:p>
    <w:p w14:paraId="3E384B88"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/>
          <w:sz w:val="24"/>
        </w:rPr>
      </w:pPr>
      <w:r>
        <w:rPr>
          <w:rFonts w:hint="eastAsia"/>
          <w:b/>
          <w:bCs/>
          <w:sz w:val="28"/>
          <w:szCs w:val="28"/>
        </w:rPr>
        <w:t>学科概况</w:t>
      </w:r>
    </w:p>
    <w:p w14:paraId="2C2D5A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土木与建筑工程学院是一所具有50余年办学历史的教学研究型学院，在传承学校“核地学”优势与特色的基础上，发展形成了岩土工程、结构工程、桥梁与隧道工程、城市地下空间工程等领域独具特色的人才培养体系。拥有土木工程、地质资源与地质工程2个学术型一级学科硕士学位授权点，土木水利（领域）、资源与环境（领域）2个专业学位硕士授权点，以及地质资源与地质工程一级学科博士学位授权点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</w:p>
    <w:p w14:paraId="052844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院拥有一支结构合理、实力雄厚的师资队伍，学院现有教职工82人，其中教授7人、博士生导师3人、副教授20余人、具有博士学位的教师50余名，拥有“江西省名师工作室”1个。教师队伍中拥有教育部新世纪优秀人才、江西省双千计划高层次创新创业人才等省部级及以上高层次人才10余名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学院拥有“核资源与环境”国家重点实验室，实验室面积约2000平方米，购置有TAW-2000、MTS、GDS、岩石高温高压试验仪、岩土疲劳试验系统、地质材料多场耦合试验系统、结构压剪综合实验系统等大型仪器设备，仪器设备原值2600余万元。</w:t>
      </w:r>
    </w:p>
    <w:p w14:paraId="664763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学院在深基坑工程、地铁隧道工程、软土力学与工程、地质灾害与防治、冻结法理论与技术、核废物深地质处置、再生绿色混凝土结构、结构抗震及健康监测等方向逐步形成特色和优势。近五年来教师主持国家自然科学基金20余项，省部级科研项目40余项，发表高水平学术论文200余篇，授权国家专利300余项，年均纵横向科研经费1200余万元。</w:t>
      </w:r>
    </w:p>
    <w:p w14:paraId="7A2233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学院十分重视学生素质拓展，积极引导学生参加各类学科竞赛和各类科技创新竞赛，同时鼓励学生通过各种方式广泛开展社会实践活动，提升综合素质。</w:t>
      </w:r>
    </w:p>
    <w:p w14:paraId="3A37CF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近年来学生获省部级及以上学科竞赛奖200余项。获全国结构设计竞赛一等奖1项；第四届江西省结构设计竞赛中荣获一等奖1项；周培源力学竞赛中获得全国优胜奖5项，江西省二等奖5项；江西省十六届“挑战杯”课外学术作品大赛一等奖1项。</w:t>
      </w:r>
    </w:p>
    <w:p w14:paraId="34CC41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土木工程专业于2019年入选首批省级一流专业，地质资源与地质工程入选省级一流学科；依托国家和省部级重点实验室建设有建筑工程、地下工程、桥梁与隧道工程、地下空间开发与利用等专业实验室，并建设有校内外实习实训基地26个。学院以学生能力培养为本位，以社会需求为导向，突出实践能力和创新能力的培养，紧密结合土建人才培养需求，及时调整教学计划和课程体系，以培养基础知识较宽、专业过硬、兼备特长、全面发展的多元化应用复合型人才为目标。</w:t>
      </w:r>
    </w:p>
    <w:p w14:paraId="00E890C3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学科方向</w:t>
      </w:r>
    </w:p>
    <w:p w14:paraId="05BBCA0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left="425" w:leftChars="0" w:right="0" w:hanging="425" w:firstLineChars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岩土工程</w:t>
      </w:r>
    </w:p>
    <w:p w14:paraId="193B03E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left="425" w:leftChars="0" w:right="0" w:hanging="425" w:firstLineChars="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结构工程</w:t>
      </w:r>
    </w:p>
    <w:p w14:paraId="6A0D848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left="425" w:leftChars="0" w:right="0" w:hanging="425" w:firstLineChars="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桥梁与隧道工程</w:t>
      </w:r>
    </w:p>
    <w:p w14:paraId="6E4D450C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/>
          <w:sz w:val="24"/>
        </w:rPr>
      </w:pPr>
      <w:r>
        <w:rPr>
          <w:rFonts w:hint="eastAsia"/>
          <w:b/>
          <w:bCs/>
          <w:sz w:val="28"/>
          <w:szCs w:val="28"/>
        </w:rPr>
        <w:t>培养目标</w:t>
      </w:r>
    </w:p>
    <w:p w14:paraId="311017E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培养适应社会主义现代化建设需要，德、智、体、美、劳全面发展，掌握土木工程学科基本理论和基本知识，获得工程师基本训练并具有创新精神，能在房屋建筑、岩土与地下工程、道路与桥梁等部门从事设计、施工、管理、咨询、监理、研究、教育、投资和开发工作，具有初步的项目规划和研究开发能力的高级专业技术人才。</w:t>
      </w:r>
    </w:p>
    <w:p w14:paraId="28F043D6">
      <w:pPr>
        <w:pStyle w:val="4"/>
        <w:widowControl/>
        <w:numPr>
          <w:ilvl w:val="0"/>
          <w:numId w:val="1"/>
        </w:numPr>
        <w:spacing w:beforeAutospacing="0" w:afterAutospacing="0" w:line="560" w:lineRule="exac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申请</w:t>
      </w:r>
      <w:r>
        <w:rPr>
          <w:rFonts w:hint="eastAsia"/>
          <w:b/>
          <w:bCs/>
          <w:sz w:val="28"/>
          <w:szCs w:val="28"/>
        </w:rPr>
        <w:t>条件</w:t>
      </w:r>
    </w:p>
    <w:p w14:paraId="4590222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拥护《中华人民共和国宪法》，遵守法律、法规，品行端正。</w:t>
      </w:r>
    </w:p>
    <w:p w14:paraId="3183841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申请学员需获学士学位后在本专业或相关专业工作满三年及以上；或虽无学士学位但已获得硕士或博士学位；或通过教育部留学服务中心认证的国（境）外学士（</w:t>
      </w:r>
      <w:r>
        <w:rPr>
          <w:rFonts w:hint="eastAsia" w:ascii="Times New Roman" w:hAnsi="Times New Roman"/>
          <w:color w:val="auto"/>
          <w:sz w:val="24"/>
        </w:rPr>
        <w:t>本专业或相关专业工作满三年以上</w:t>
      </w:r>
      <w:r>
        <w:rPr>
          <w:rFonts w:hint="eastAsia" w:ascii="Times New Roman" w:hAnsi="Times New Roman"/>
          <w:sz w:val="24"/>
        </w:rPr>
        <w:t>）、硕士或博士学位获得者。</w:t>
      </w:r>
    </w:p>
    <w:p w14:paraId="3398CEF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</w:pPr>
      <w:r>
        <w:rPr>
          <w:rFonts w:hint="eastAsia" w:ascii="Times New Roman" w:hAnsi="Times New Roman"/>
          <w:sz w:val="24"/>
        </w:rPr>
        <w:t>在教学、科研、专门技术、管理等方面做出成绩，具有研究生毕业同等学力，学术水平或专门技术水平已达到学位授予标准的人员</w:t>
      </w:r>
    </w:p>
    <w:p w14:paraId="008877C2">
      <w:pPr>
        <w:numPr>
          <w:ilvl w:val="0"/>
          <w:numId w:val="1"/>
        </w:numPr>
        <w:spacing w:after="158" w:afterLines="50" w:line="560" w:lineRule="exac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报名方式</w:t>
      </w:r>
    </w:p>
    <w:p w14:paraId="6DA749C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highlight w:val="yellow"/>
        </w:rPr>
        <w:t>学习中心报名。</w:t>
      </w:r>
      <w:r>
        <w:rPr>
          <w:rFonts w:hint="eastAsia" w:ascii="Times New Roman" w:hAnsi="Times New Roman"/>
          <w:sz w:val="24"/>
        </w:rPr>
        <w:t>须提交《东华理工大学同等学力人员申请硕士学位申请表》、身份证正反面扫描件、毕业证书扫描件、学位证书扫描件、一寸蓝底照片、教育部学历证书电子注册备案表、中国高等教育学位在线验证报告。报名截止时间以东华理工大学通知为准。</w:t>
      </w:r>
    </w:p>
    <w:p w14:paraId="0A3A022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经我校审查报名资格通过后，无需参加入学考试，即可参加我校课程学习。</w:t>
      </w:r>
    </w:p>
    <w:p w14:paraId="1C8F54F4">
      <w:pPr>
        <w:numPr>
          <w:ilvl w:val="0"/>
          <w:numId w:val="1"/>
        </w:numPr>
        <w:spacing w:before="158" w:beforeLines="50" w:after="158" w:afterLines="50" w:line="560" w:lineRule="exac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课程学习</w:t>
      </w:r>
    </w:p>
    <w:p w14:paraId="77E50795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ascii="Times New Roman" w:hAnsi="Times New Roman"/>
          <w:sz w:val="24"/>
        </w:rPr>
      </w:pPr>
      <w:r>
        <w:rPr>
          <w:rFonts w:hint="default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Times New Roman" w:hAnsi="Times New Roman"/>
          <w:sz w:val="24"/>
        </w:rPr>
        <w:t>学习方式：采取在职不脱</w:t>
      </w:r>
      <w:r>
        <w:rPr>
          <w:rFonts w:hint="eastAsia" w:ascii="Times New Roman" w:hAnsi="Times New Roman"/>
          <w:color w:val="auto"/>
          <w:sz w:val="24"/>
        </w:rPr>
        <w:t>产的网络学习方式。</w:t>
      </w:r>
    </w:p>
    <w:p w14:paraId="6877DEE7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eastAsia" w:ascii="Times New Roman" w:hAnsi="Times New Roman"/>
          <w:sz w:val="24"/>
        </w:rPr>
      </w:pPr>
      <w:r>
        <w:rPr>
          <w:rFonts w:hint="default" w:ascii="Times New Roman" w:hAnsi="Times New Roman" w:eastAsiaTheme="minorEastAsia" w:cstheme="minorBidi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Times New Roman" w:hAnsi="Times New Roman"/>
          <w:sz w:val="24"/>
        </w:rPr>
        <w:t>学习时间：寒假、暑假或周末集中网络授课。</w:t>
      </w:r>
    </w:p>
    <w:p w14:paraId="050295DC">
      <w:pPr>
        <w:numPr>
          <w:ilvl w:val="0"/>
          <w:numId w:val="1"/>
        </w:numPr>
        <w:spacing w:before="158" w:beforeLines="50"/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专业优势</w:t>
      </w:r>
    </w:p>
    <w:p w14:paraId="435BB78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【免试入学可申硕】学员达</w:t>
      </w:r>
      <w:r>
        <w:rPr>
          <w:rFonts w:hint="eastAsia" w:ascii="Times New Roman" w:hAnsi="Times New Roman"/>
          <w:sz w:val="24"/>
          <w:lang w:val="en-US" w:eastAsia="zh-CN"/>
        </w:rPr>
        <w:t>申请</w:t>
      </w:r>
      <w:r>
        <w:rPr>
          <w:rFonts w:hint="default" w:ascii="Times New Roman" w:hAnsi="Times New Roman"/>
          <w:sz w:val="24"/>
          <w:lang w:val="en-US" w:eastAsia="zh-CN"/>
        </w:rPr>
        <w:t>条件即可免试入学，满足申硕要求即可</w:t>
      </w:r>
      <w:r>
        <w:rPr>
          <w:rFonts w:hint="eastAsia" w:ascii="Times New Roman" w:hAnsi="Times New Roman"/>
          <w:sz w:val="24"/>
          <w:lang w:val="en-US" w:eastAsia="zh-CN"/>
        </w:rPr>
        <w:t>参加</w:t>
      </w:r>
      <w:r>
        <w:rPr>
          <w:rFonts w:hint="default" w:ascii="Times New Roman" w:hAnsi="Times New Roman"/>
          <w:sz w:val="24"/>
          <w:lang w:val="en-US" w:eastAsia="zh-CN"/>
        </w:rPr>
        <w:t>申硕考试，边学边考，成绩合格者可获取东华理工大学硕士学位证书；</w:t>
      </w:r>
    </w:p>
    <w:p w14:paraId="4E75086A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【证书含金量高】学员所获取学位证书学位网可查，证书可用于继续攻读博士学位、评职称以及公务员考试等个人职场提升用途；</w:t>
      </w:r>
    </w:p>
    <w:p w14:paraId="1119D0EB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highlight w:val="none"/>
          <w:lang w:val="en-US" w:eastAsia="zh-CN"/>
        </w:rPr>
        <w:t>【学费性价比高】申硕费用低于同类高等院校1-2万元；</w:t>
      </w:r>
    </w:p>
    <w:p w14:paraId="033E126E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highlight w:val="none"/>
          <w:lang w:val="en-US" w:eastAsia="zh-CN"/>
        </w:rPr>
      </w:pPr>
      <w:r>
        <w:rPr>
          <w:rFonts w:hint="default" w:ascii="Times New Roman" w:hAnsi="Times New Roman"/>
          <w:sz w:val="24"/>
          <w:highlight w:val="none"/>
          <w:lang w:val="en-US" w:eastAsia="zh-CN"/>
        </w:rPr>
        <w:t>【学习方式灵活】全国远程班，学习方式灵活；</w:t>
      </w:r>
    </w:p>
    <w:p w14:paraId="13A79637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【申硕机会多】学校学制保留6年，达申硕条件即可申请4年内每年5月同等学力申硕考试；</w:t>
      </w:r>
    </w:p>
    <w:p w14:paraId="5DB2B29C">
      <w:pPr>
        <w:numPr>
          <w:ilvl w:val="0"/>
          <w:numId w:val="0"/>
        </w:numPr>
        <w:spacing w:line="560" w:lineRule="exact"/>
        <w:ind w:left="283" w:leftChars="0" w:hanging="283" w:firstLineChars="0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【申硕通过率高】设申硕考前辅导，360度全方位剖析考纲、考点，提高申硕通过率。</w:t>
      </w:r>
    </w:p>
    <w:p w14:paraId="6A0F6322">
      <w:pPr>
        <w:numPr>
          <w:ilvl w:val="0"/>
          <w:numId w:val="0"/>
        </w:numPr>
        <w:spacing w:line="560" w:lineRule="exact"/>
        <w:rPr>
          <w:rFonts w:hint="eastAsia" w:ascii="Times New Roman" w:hAnsi="Times New Roman"/>
          <w:sz w:val="24"/>
          <w:lang w:val="en-US" w:eastAsia="zh-CN"/>
        </w:rPr>
      </w:pPr>
    </w:p>
    <w:p w14:paraId="4C1751B9">
      <w:pPr>
        <w:numPr>
          <w:ilvl w:val="0"/>
          <w:numId w:val="1"/>
        </w:numPr>
        <w:shd w:val="clear"/>
        <w:spacing w:beforeLines="50"/>
        <w:ind w:left="0" w:leftChars="0" w:firstLine="0" w:firstLineChars="0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课程设置</w:t>
      </w:r>
    </w:p>
    <w:p w14:paraId="504FC674">
      <w:pPr>
        <w:shd w:val="clear"/>
        <w:spacing w:afterLines="50" w:line="560" w:lineRule="exact"/>
        <w:jc w:val="center"/>
        <w:rPr>
          <w:rFonts w:ascii="Calibri" w:hAnsi="Calibri"/>
          <w:b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土木工程</w:t>
      </w:r>
      <w:r>
        <w:rPr>
          <w:rFonts w:hint="eastAsia" w:ascii="黑体" w:hAnsi="黑体" w:eastAsia="黑体"/>
          <w:sz w:val="30"/>
          <w:szCs w:val="30"/>
        </w:rPr>
        <w:t>学术学位硕士研究生课程设置与教学计划表</w:t>
      </w:r>
    </w:p>
    <w:p w14:paraId="39C9C5B7">
      <w:pPr>
        <w:shd w:val="clear"/>
        <w:rPr>
          <w:rFonts w:hint="default" w:ascii="Calibri" w:hAnsi="Calibri" w:eastAsia="黑体"/>
          <w:b/>
          <w:lang w:val="en-US" w:eastAsia="zh-CN"/>
        </w:rPr>
      </w:pPr>
      <w:r>
        <w:rPr>
          <w:rFonts w:hint="eastAsia" w:eastAsia="黑体"/>
        </w:rPr>
        <w:t>学科名称：</w:t>
      </w:r>
      <w:r>
        <w:rPr>
          <w:rFonts w:hint="eastAsia" w:eastAsia="黑体"/>
          <w:lang w:val="en-US" w:eastAsia="zh-CN"/>
        </w:rPr>
        <w:t>土木工程</w:t>
      </w:r>
      <w:r>
        <w:rPr>
          <w:rFonts w:hint="eastAsia" w:eastAsia="黑体"/>
        </w:rPr>
        <w:t xml:space="preserve">                      </w:t>
      </w:r>
      <w:r>
        <w:rPr>
          <w:rFonts w:hint="eastAsia" w:eastAsia="黑体"/>
          <w:lang w:val="en-US" w:eastAsia="zh-CN"/>
        </w:rPr>
        <w:t xml:space="preserve">                      </w:t>
      </w:r>
      <w:r>
        <w:rPr>
          <w:rFonts w:hint="eastAsia" w:eastAsia="黑体"/>
        </w:rPr>
        <w:t>学科代码：08</w:t>
      </w:r>
      <w:r>
        <w:rPr>
          <w:rFonts w:hint="eastAsia" w:eastAsia="黑体"/>
          <w:lang w:val="en-US" w:eastAsia="zh-CN"/>
        </w:rPr>
        <w:t>1400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70"/>
        <w:gridCol w:w="3669"/>
        <w:gridCol w:w="769"/>
        <w:gridCol w:w="518"/>
        <w:gridCol w:w="774"/>
      </w:tblGrid>
      <w:tr w14:paraId="1930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2F88F4A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课程类别</w:t>
            </w: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71093B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课程编号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04845D1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课程名称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4A0930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0"/>
                <w:szCs w:val="28"/>
                <w:lang w:val="en-US" w:eastAsia="zh-CN"/>
              </w:rPr>
              <w:t>学时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C0DBDB7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学</w:t>
            </w:r>
          </w:p>
          <w:p w14:paraId="503F0028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分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8754FB6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考核</w:t>
            </w:r>
          </w:p>
          <w:p w14:paraId="27A2067C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方式</w:t>
            </w:r>
          </w:p>
        </w:tc>
      </w:tr>
      <w:tr w14:paraId="7C62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4453404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  <w:t>公共必修课</w:t>
            </w: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41674AC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10001001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AEC359">
            <w:pPr>
              <w:shd w:val="clear"/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英语（Ⅰ、Ⅱ）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548C5C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144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7E4CA29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  <w:t>4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61B55F1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6F86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B6C2AF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5F66AC1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10001002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38CE3F3">
            <w:pPr>
              <w:shd w:val="clear"/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自然辩证法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4F207ED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  <w:bookmarkStart w:id="0" w:name="_GoBack"/>
            <w:bookmarkEnd w:id="0"/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BA878B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97690B7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37630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4E096A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2162777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10001002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1FF993F">
            <w:pPr>
              <w:shd w:val="clear"/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</w:rPr>
              <w:t>中国特色社会主义理论与实践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99EB57D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817C668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660F9F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4B99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4428095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0"/>
                <w:szCs w:val="28"/>
                <w:lang w:val="en-US" w:eastAsia="zh-CN"/>
              </w:rPr>
              <w:t>专业基础课</w:t>
            </w: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5566D5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12030516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B736D2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szCs w:val="24"/>
              </w:rPr>
              <w:t>弹塑性力学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555B90F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55C44B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E024D5B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697E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A7C76F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844B94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12030517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F15B201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高等土力学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CDD976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DC515D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CCF6CE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4665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B8BF18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E95053A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12030501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3C7EDC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szCs w:val="24"/>
              </w:rPr>
              <w:t>土木工程技术</w:t>
            </w:r>
            <w:r>
              <w:rPr>
                <w:rFonts w:hint="eastAsia"/>
                <w:szCs w:val="24"/>
              </w:rPr>
              <w:t>前沿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548B74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85766F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78E72C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21003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DA0E4F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3B5DE97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</w:rPr>
              <w:t>12030525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57C5CC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szCs w:val="24"/>
              </w:rPr>
              <w:t>高等混凝土结构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F60D62A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F04EFD2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F341EC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62F5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4AA8EF5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sz w:val="20"/>
                <w:szCs w:val="28"/>
                <w:lang w:val="en-US" w:eastAsia="zh-CN"/>
              </w:rPr>
              <w:t>专业必修课</w:t>
            </w: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C3012F5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</w:rPr>
              <w:t>12030509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D863F9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Cs w:val="24"/>
              </w:rPr>
              <w:t>工程可靠性鉴定与加固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8674286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38C8482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B5999E0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7660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3983CE4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BC01849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</w:rPr>
              <w:t>12030526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B33D1B5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Cs w:val="24"/>
              </w:rPr>
              <w:t>高等岩石力学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821FB7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9C78A99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BA85B16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7C65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72DC650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73193B3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</w:rPr>
              <w:t>12030522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568CE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Cs w:val="24"/>
              </w:rPr>
              <w:t>现代土木工程材料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C7B0141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7313453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65608B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03D8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6F1A2E0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1681DA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</w:rPr>
              <w:t>12030521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CD4024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Cs w:val="24"/>
              </w:rPr>
              <w:t>土木工程项目管理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17EAEBB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941736E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141FDED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339C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3637ED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0"/>
                <w:szCs w:val="28"/>
              </w:rPr>
            </w:pP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E23A18">
            <w:pPr>
              <w:pStyle w:val="8"/>
              <w:shd w:val="clear"/>
              <w:spacing w:before="0" w:beforeAutospacing="0" w:after="0" w:afterAutospacing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shd w:val="clear" w:color="auto" w:fill="FFFFFF"/>
                <w:lang w:val="en-US" w:eastAsia="zh-CN"/>
              </w:rPr>
              <w:t>12030513</w:t>
            </w:r>
          </w:p>
        </w:tc>
        <w:tc>
          <w:tcPr>
            <w:tcW w:w="2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3C2BCF">
            <w:pPr>
              <w:pStyle w:val="8"/>
              <w:shd w:val="clear"/>
              <w:spacing w:before="0" w:beforeAutospacing="0" w:after="0" w:afterAutospacing="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szCs w:val="24"/>
              </w:rPr>
              <w:t>工程防</w:t>
            </w:r>
            <w:r>
              <w:rPr>
                <w:rFonts w:hint="eastAsia"/>
                <w:szCs w:val="24"/>
              </w:rPr>
              <w:t>灾</w:t>
            </w:r>
            <w:r>
              <w:rPr>
                <w:szCs w:val="24"/>
              </w:rPr>
              <w:t>减灾学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BDB9DA8">
            <w:pPr>
              <w:shd w:val="clear"/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32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AB436F6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3909C13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考试</w:t>
            </w:r>
          </w:p>
        </w:tc>
      </w:tr>
      <w:tr w14:paraId="0A2B5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7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9C23965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总学分</w:t>
            </w:r>
          </w:p>
        </w:tc>
        <w:tc>
          <w:tcPr>
            <w:tcW w:w="336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F681FE4">
            <w:pPr>
              <w:shd w:val="clear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8"/>
                <w:lang w:val="en-US" w:eastAsia="zh-CN"/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8"/>
              </w:rPr>
              <w:t>学分</w:t>
            </w:r>
          </w:p>
        </w:tc>
      </w:tr>
    </w:tbl>
    <w:p w14:paraId="157E9F8A">
      <w:pPr>
        <w:shd w:val="clear"/>
        <w:spacing w:line="15" w:lineRule="auto"/>
        <w:rPr>
          <w:rFonts w:hint="eastAsia"/>
          <w:b/>
          <w:bCs/>
          <w:sz w:val="28"/>
          <w:szCs w:val="28"/>
        </w:rPr>
      </w:pPr>
    </w:p>
    <w:p w14:paraId="1F372578">
      <w:pPr>
        <w:numPr>
          <w:ilvl w:val="0"/>
          <w:numId w:val="1"/>
        </w:numPr>
        <w:spacing w:line="15" w:lineRule="auto"/>
        <w:ind w:left="0" w:leftChars="0" w:firstLine="0" w:firstLineChars="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b/>
          <w:bCs/>
          <w:sz w:val="28"/>
          <w:szCs w:val="28"/>
          <w:lang w:val="en-US" w:eastAsia="zh-CN"/>
        </w:rPr>
        <w:t>证书颁发及学位授予</w:t>
      </w:r>
    </w:p>
    <w:p w14:paraId="5CBF2173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学员修完所申请专业培养方案规定的课程，且考试成绩合格者，可获得</w:t>
      </w:r>
      <w:r>
        <w:rPr>
          <w:rFonts w:hint="eastAsia" w:ascii="Times New Roman" w:hAnsi="Times New Roman"/>
          <w:color w:val="auto"/>
          <w:sz w:val="24"/>
        </w:rPr>
        <w:t>结业证书</w:t>
      </w:r>
      <w:r>
        <w:rPr>
          <w:rFonts w:hint="eastAsia" w:ascii="Times New Roman" w:hAnsi="Times New Roman"/>
          <w:sz w:val="24"/>
        </w:rPr>
        <w:t>或成绩证明。</w:t>
      </w:r>
    </w:p>
    <w:p w14:paraId="61016998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申请人通过同等学力水平认定，论文答辩获得通过，经学位分委员会同意，报校学位委员会审议批准，授予硕士学位并颁发学位证书。</w:t>
      </w:r>
    </w:p>
    <w:p w14:paraId="5AB23963">
      <w:pPr>
        <w:numPr>
          <w:ilvl w:val="0"/>
          <w:numId w:val="5"/>
        </w:numPr>
        <w:spacing w:line="360" w:lineRule="auto"/>
        <w:ind w:left="425" w:leftChars="0" w:hanging="425" w:firstLineChars="0"/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有关学位申请、论文答辩、学位授予的具体要求按最新公布的《国务院学位委员会关于授予具有研究生毕业同等学力人员硕士、博士学位的规定》和《东华理工大学同等学力人员硕士学位授予办法》、《东华理工大学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土木与建筑工程学院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同等学力人员申请学位对创新成果基本要求的规定》执行。</w:t>
      </w:r>
    </w:p>
    <w:p w14:paraId="6337CC2B">
      <w:pPr>
        <w:spacing w:line="0" w:lineRule="atLeast"/>
        <w:rPr>
          <w:rFonts w:hint="eastAsia"/>
          <w:b/>
          <w:bCs/>
          <w:sz w:val="28"/>
          <w:szCs w:val="28"/>
        </w:rPr>
      </w:pPr>
    </w:p>
    <w:p w14:paraId="15538C25">
      <w:pPr>
        <w:numPr>
          <w:ilvl w:val="0"/>
          <w:numId w:val="1"/>
        </w:numPr>
        <w:spacing w:line="0" w:lineRule="atLeast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其他事项</w:t>
      </w:r>
    </w:p>
    <w:p w14:paraId="2B4960BC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申请人提交的毕业证书、学位证书、论文、专著等必须真实有效，凡弄虚作假者，一经查实，立即取消申请资格。</w:t>
      </w:r>
    </w:p>
    <w:p w14:paraId="79AB082A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申请人因个人原因中止学习，不再申请硕士学位，须由本人向所属学院（学部）提交中止学习申请书，所属学院（学部）批准后办理相关手续，但所交费用不予退还。</w:t>
      </w:r>
    </w:p>
    <w:p w14:paraId="79AA1F13">
      <w:pPr>
        <w:keepNext w:val="0"/>
        <w:keepLines w:val="0"/>
        <w:pageBreakBefore w:val="0"/>
        <w:widowControl/>
        <w:numPr>
          <w:ilvl w:val="0"/>
          <w:numId w:val="6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zh-CN" w:bidi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学习期间的书籍资料费、学位论文打印费、参加考试和论文答辩的差旅、食宿等其它费用自理。</w:t>
      </w:r>
    </w:p>
    <w:p w14:paraId="50197F1C">
      <w:pPr>
        <w:keepNext w:val="0"/>
        <w:keepLines w:val="0"/>
        <w:pageBreakBefore w:val="0"/>
        <w:widowControl w:val="0"/>
        <w:numPr>
          <w:ilvl w:val="0"/>
          <w:numId w:val="6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自本简章发布到资格复核前，如遇国家政策变动，以最新国家政策为准。本简章未尽事宜由</w:t>
      </w:r>
      <w:r>
        <w:rPr>
          <w:rFonts w:hint="eastAsia" w:ascii="Times New Roman" w:hAnsi="Times New Roman"/>
          <w:sz w:val="24"/>
          <w:lang w:val="en-US" w:eastAsia="zh-CN"/>
        </w:rPr>
        <w:t>东华理工</w:t>
      </w:r>
      <w:r>
        <w:rPr>
          <w:rFonts w:hint="eastAsia" w:ascii="Times New Roman" w:hAnsi="Times New Roman"/>
          <w:sz w:val="24"/>
        </w:rPr>
        <w:t>大学负责解释。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2764D">
    <w:pPr>
      <w:pStyle w:val="3"/>
      <w:rPr>
        <w:rFonts w:hint="eastAsia" w:ascii="宋体" w:hAnsi="宋体" w:eastAsia="宋体" w:cs="宋体"/>
        <w:sz w:val="20"/>
        <w:szCs w:val="20"/>
      </w:rPr>
    </w:pPr>
  </w:p>
  <w:p w14:paraId="4012CAEE">
    <w:pPr>
      <w:pStyle w:val="3"/>
      <w:ind w:firstLine="4140" w:firstLineChars="2300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377180"/>
          <wp:effectExtent l="0" t="0" r="0" b="13970"/>
          <wp:wrapNone/>
          <wp:docPr id="4" name="WordPictureWatermark31754" descr="东华理工大学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1754" descr="东华理工大学校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37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eastAsia="宋体" w:cs="宋体"/>
        <w:sz w:val="20"/>
        <w:szCs w:val="20"/>
      </w:rPr>
      <w:t>东华理工</w:t>
    </w:r>
    <w:r>
      <w:rPr>
        <w:rFonts w:hint="eastAsia" w:ascii="宋体" w:hAnsi="宋体" w:eastAsia="宋体" w:cs="宋体"/>
        <w:sz w:val="20"/>
        <w:szCs w:val="20"/>
        <w:lang w:val="en-US" w:eastAsia="zh-CN"/>
      </w:rPr>
      <w:t>大学岩土工程</w:t>
    </w:r>
    <w:r>
      <w:rPr>
        <w:rFonts w:hint="eastAsia" w:ascii="宋体" w:hAnsi="宋体" w:eastAsia="宋体" w:cs="宋体"/>
        <w:sz w:val="20"/>
        <w:szCs w:val="20"/>
      </w:rPr>
      <w:t>专业研修课程招生简章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5C2FAC"/>
    <w:multiLevelType w:val="singleLevel"/>
    <w:tmpl w:val="905C2F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3BE8C32"/>
    <w:multiLevelType w:val="singleLevel"/>
    <w:tmpl w:val="93BE8C3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E3DA2203"/>
    <w:multiLevelType w:val="singleLevel"/>
    <w:tmpl w:val="E3DA22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5671312"/>
    <w:multiLevelType w:val="singleLevel"/>
    <w:tmpl w:val="256713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E96BD98"/>
    <w:multiLevelType w:val="singleLevel"/>
    <w:tmpl w:val="2E96BD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77137229"/>
    <w:multiLevelType w:val="singleLevel"/>
    <w:tmpl w:val="7713722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NzgyMTgzYzNjNmM2ODI5ZDMzOGVjYjkyZWVmZWEifQ=="/>
  </w:docVars>
  <w:rsids>
    <w:rsidRoot w:val="64234F32"/>
    <w:rsid w:val="00270B4B"/>
    <w:rsid w:val="00763DB6"/>
    <w:rsid w:val="009D0960"/>
    <w:rsid w:val="00E5237D"/>
    <w:rsid w:val="00E66034"/>
    <w:rsid w:val="05533958"/>
    <w:rsid w:val="068D384D"/>
    <w:rsid w:val="073F1BAD"/>
    <w:rsid w:val="0D7570F8"/>
    <w:rsid w:val="1AE03E4D"/>
    <w:rsid w:val="208C2D42"/>
    <w:rsid w:val="242F29C1"/>
    <w:rsid w:val="25F72462"/>
    <w:rsid w:val="28787F87"/>
    <w:rsid w:val="33E24F04"/>
    <w:rsid w:val="39B31A45"/>
    <w:rsid w:val="3BA219DE"/>
    <w:rsid w:val="3CDF6C63"/>
    <w:rsid w:val="487F07CC"/>
    <w:rsid w:val="4B347DE6"/>
    <w:rsid w:val="4BD85BE8"/>
    <w:rsid w:val="4BDB7C4B"/>
    <w:rsid w:val="4FE81E0F"/>
    <w:rsid w:val="526E67B0"/>
    <w:rsid w:val="57615292"/>
    <w:rsid w:val="5A3228D2"/>
    <w:rsid w:val="5AC55855"/>
    <w:rsid w:val="64234F32"/>
    <w:rsid w:val="6A62365A"/>
    <w:rsid w:val="6C9D26A4"/>
    <w:rsid w:val="6F437A0C"/>
    <w:rsid w:val="70FA43CE"/>
    <w:rsid w:val="715865B3"/>
    <w:rsid w:val="73C24B61"/>
    <w:rsid w:val="774B5F2A"/>
    <w:rsid w:val="7C844A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paragraph" w:customStyle="1" w:styleId="8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1645</Words>
  <Characters>1684</Characters>
  <Lines>20</Lines>
  <Paragraphs>5</Paragraphs>
  <TotalTime>7</TotalTime>
  <ScaleCrop>false</ScaleCrop>
  <LinksUpToDate>false</LinksUpToDate>
  <CharactersWithSpaces>1685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2021-07-08T15:57:00Z</dcterms:created>
  <dc:creator>Admin</dc:creator>
  <cp:lastModifiedBy>朱朱</cp:lastModifiedBy>
  <dcterms:modified xsi:type="dcterms:W3CDTF">2025-03-30T09:34:30Z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168C9BC826714E228F30A45017E01523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