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14C2C8">
      <w:pPr>
        <w:spacing w:before="158" w:beforeLines="50" w:after="158" w:afterLines="50" w:line="360" w:lineRule="auto"/>
        <w:jc w:val="center"/>
        <w:rPr>
          <w:rFonts w:ascii="微软雅黑" w:hAnsi="微软雅黑" w:eastAsia="微软雅黑" w:cs="微软雅黑"/>
          <w:b/>
          <w:bCs/>
          <w:color w:val="840000"/>
          <w:sz w:val="36"/>
          <w:szCs w:val="36"/>
        </w:rPr>
      </w:pPr>
      <w:r>
        <w:rPr>
          <w:rFonts w:hint="eastAsia" w:ascii="微软雅黑" w:hAnsi="微软雅黑" w:eastAsia="微软雅黑" w:cs="微软雅黑"/>
          <w:b/>
          <w:bCs/>
          <w:color w:val="840000"/>
          <w:sz w:val="36"/>
          <w:szCs w:val="36"/>
        </w:rPr>
        <w:t>东华理工大学</w:t>
      </w:r>
      <w:r>
        <w:rPr>
          <w:rFonts w:hint="eastAsia" w:ascii="微软雅黑" w:hAnsi="微软雅黑" w:eastAsia="微软雅黑" w:cs="微软雅黑"/>
          <w:b/>
          <w:bCs/>
          <w:color w:val="840000"/>
          <w:sz w:val="36"/>
          <w:szCs w:val="36"/>
          <w:lang w:val="en-US" w:eastAsia="zh-CN"/>
        </w:rPr>
        <w:t>工商管理学</w:t>
      </w:r>
      <w:r>
        <w:rPr>
          <w:rFonts w:hint="eastAsia" w:ascii="微软雅黑" w:hAnsi="微软雅黑" w:eastAsia="微软雅黑" w:cs="微软雅黑"/>
          <w:b/>
          <w:bCs/>
          <w:color w:val="840000"/>
          <w:sz w:val="36"/>
          <w:szCs w:val="36"/>
        </w:rPr>
        <w:t>专业招生简章</w:t>
      </w:r>
    </w:p>
    <w:p w14:paraId="0697CE84">
      <w:pPr>
        <w:numPr>
          <w:ilvl w:val="0"/>
          <w:numId w:val="1"/>
        </w:numPr>
        <w:spacing w:line="560" w:lineRule="exact"/>
        <w:ind w:left="0" w:leftChars="0" w:firstLine="0" w:firstLineChars="0"/>
        <w:rPr>
          <w:rFonts w:ascii="Times New Roman" w:hAnsi="Times New Roman"/>
          <w:sz w:val="24"/>
        </w:rPr>
      </w:pPr>
      <w:r>
        <w:rPr>
          <w:rFonts w:hint="eastAsia"/>
          <w:b/>
          <w:bCs/>
          <w:sz w:val="28"/>
          <w:szCs w:val="28"/>
        </w:rPr>
        <w:t>学科概况</w:t>
      </w:r>
    </w:p>
    <w:p w14:paraId="279ACC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ascii="宋体" w:hAnsi="宋体" w:eastAsia="宋体" w:cs="宋体"/>
          <w:sz w:val="24"/>
        </w:rPr>
      </w:pPr>
      <w:r>
        <w:rPr>
          <w:rFonts w:ascii="宋体" w:hAnsi="宋体" w:eastAsia="宋体" w:cs="宋体"/>
          <w:sz w:val="24"/>
        </w:rPr>
        <w:t>东华理工大学经济与管理学院始建于1982年。学院现有市场营销、会计学、财务管理、国际经济与贸易、物流管理和审计学等本科专业，其中市场营销、会计学专业为江西省品牌专业，市场营销专业为江西省高校综合改革试点专业</w:t>
      </w:r>
      <w:r>
        <w:rPr>
          <w:rFonts w:hint="eastAsia" w:ascii="宋体" w:hAnsi="宋体" w:eastAsia="宋体" w:cs="宋体"/>
          <w:sz w:val="24"/>
          <w:lang w:eastAsia="zh-CN"/>
        </w:rPr>
        <w:t>；</w:t>
      </w:r>
      <w:r>
        <w:rPr>
          <w:rFonts w:ascii="宋体" w:hAnsi="宋体" w:eastAsia="宋体" w:cs="宋体"/>
          <w:sz w:val="24"/>
        </w:rPr>
        <w:t>拥有工商管理</w:t>
      </w:r>
      <w:r>
        <w:rPr>
          <w:rFonts w:hint="eastAsia" w:ascii="宋体" w:hAnsi="宋体" w:eastAsia="宋体" w:cs="宋体"/>
          <w:sz w:val="24"/>
          <w:lang w:val="en-US" w:eastAsia="zh-CN"/>
        </w:rPr>
        <w:t>学一</w:t>
      </w:r>
      <w:r>
        <w:rPr>
          <w:rFonts w:ascii="宋体" w:hAnsi="宋体" w:eastAsia="宋体" w:cs="宋体"/>
          <w:sz w:val="24"/>
        </w:rPr>
        <w:t>级学科硕士学位授权点(含:会计学、企业管理、旅游管理、技术经济与管理四个专业方向)和会计硕士专业学位授权点</w:t>
      </w:r>
      <w:r>
        <w:rPr>
          <w:rFonts w:hint="eastAsia" w:ascii="宋体" w:hAnsi="宋体" w:eastAsia="宋体" w:cs="宋体"/>
          <w:sz w:val="24"/>
          <w:lang w:eastAsia="zh-CN"/>
        </w:rPr>
        <w:t>；</w:t>
      </w:r>
      <w:r>
        <w:rPr>
          <w:rFonts w:ascii="宋体" w:hAnsi="宋体" w:eastAsia="宋体" w:cs="宋体"/>
          <w:sz w:val="24"/>
        </w:rPr>
        <w:t>拥有江西省哲学社会科学重点研究基地、江西省高校人文社会科学重点研究基地、江西省软科学培育基地、江西省高校哲学社会科学创新团队、“工商管理系列课程"省级教学团队等科研与教学平台</w:t>
      </w:r>
      <w:r>
        <w:rPr>
          <w:rFonts w:hint="eastAsia" w:ascii="宋体" w:hAnsi="宋体" w:eastAsia="宋体" w:cs="宋体"/>
          <w:sz w:val="24"/>
          <w:lang w:eastAsia="zh-CN"/>
        </w:rPr>
        <w:t>；</w:t>
      </w:r>
      <w:r>
        <w:rPr>
          <w:rFonts w:ascii="宋体" w:hAnsi="宋体" w:eastAsia="宋体" w:cs="宋体"/>
          <w:sz w:val="24"/>
        </w:rPr>
        <w:t>“工商管理</w:t>
      </w:r>
      <w:r>
        <w:rPr>
          <w:rFonts w:hint="eastAsia" w:ascii="宋体" w:hAnsi="宋体" w:eastAsia="宋体" w:cs="宋体"/>
          <w:sz w:val="24"/>
          <w:lang w:val="en-US" w:eastAsia="zh-CN"/>
        </w:rPr>
        <w:t>学</w:t>
      </w:r>
      <w:r>
        <w:rPr>
          <w:rFonts w:ascii="宋体" w:hAnsi="宋体" w:eastAsia="宋体" w:cs="宋体"/>
          <w:sz w:val="24"/>
        </w:rPr>
        <w:t>"</w:t>
      </w:r>
      <w:r>
        <w:rPr>
          <w:rFonts w:hint="eastAsia" w:ascii="宋体" w:hAnsi="宋体" w:eastAsia="宋体" w:cs="宋体"/>
          <w:sz w:val="24"/>
        </w:rPr>
        <w:t>一</w:t>
      </w:r>
      <w:r>
        <w:rPr>
          <w:rFonts w:ascii="宋体" w:hAnsi="宋体" w:eastAsia="宋体" w:cs="宋体"/>
          <w:sz w:val="24"/>
        </w:rPr>
        <w:t>级学科和“企业管理”二级学科均为江西省重点学科</w:t>
      </w:r>
      <w:r>
        <w:rPr>
          <w:rFonts w:hint="eastAsia" w:ascii="宋体" w:hAnsi="宋体" w:eastAsia="宋体" w:cs="宋体"/>
          <w:sz w:val="24"/>
          <w:lang w:eastAsia="zh-CN"/>
        </w:rPr>
        <w:t>；</w:t>
      </w:r>
      <w:r>
        <w:rPr>
          <w:rFonts w:ascii="宋体" w:hAnsi="宋体" w:eastAsia="宋体" w:cs="宋体"/>
          <w:sz w:val="24"/>
        </w:rPr>
        <w:t>“管理学原理”、“市场营销学”、“财务管理”等课程为江西省高校精品课程。在校留学生、研究生、本科生2000余人。</w:t>
      </w:r>
    </w:p>
    <w:p w14:paraId="081DAAA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lang w:eastAsia="zh-CN"/>
        </w:rPr>
      </w:pPr>
      <w:r>
        <w:rPr>
          <w:rFonts w:ascii="宋体" w:hAnsi="宋体" w:eastAsia="宋体" w:cs="宋体"/>
          <w:sz w:val="24"/>
        </w:rPr>
        <w:t>学院下设企业管理、会计、财务管理、国际经济与贸易、市场营销五个系、-个专业图书资料室和一个综合实验中心。图书资料室拥有专业期刊杂志200余种、藏书5万余册</w:t>
      </w:r>
      <w:r>
        <w:rPr>
          <w:rFonts w:hint="eastAsia" w:ascii="宋体" w:hAnsi="宋体" w:eastAsia="宋体" w:cs="宋体"/>
          <w:sz w:val="24"/>
          <w:lang w:eastAsia="zh-CN"/>
        </w:rPr>
        <w:t>；</w:t>
      </w:r>
      <w:r>
        <w:rPr>
          <w:rFonts w:ascii="宋体" w:hAnsi="宋体" w:eastAsia="宋体" w:cs="宋体"/>
          <w:sz w:val="24"/>
        </w:rPr>
        <w:t>综合实验中心由会计模拟、管理信息系统、会计电算化、国际贸易实务、证券投资模拟交易、物流沙盘、电子商务和跨专业综合实训平台等专业实验室组成，为教学科研提供了良好的平台。</w:t>
      </w:r>
      <w:r>
        <w:rPr>
          <w:rFonts w:hint="eastAsia" w:ascii="宋体" w:hAnsi="宋体" w:eastAsia="宋体" w:cs="宋体"/>
          <w:sz w:val="24"/>
        </w:rPr>
        <w:t>现有教职员工107人，其中专任教师91人</w:t>
      </w:r>
      <w:r>
        <w:rPr>
          <w:rFonts w:hint="eastAsia" w:ascii="宋体" w:hAnsi="宋体" w:eastAsia="宋体" w:cs="宋体"/>
          <w:sz w:val="24"/>
          <w:lang w:eastAsia="zh-CN"/>
        </w:rPr>
        <w:t>，</w:t>
      </w:r>
      <w:r>
        <w:rPr>
          <w:rFonts w:ascii="宋体" w:hAnsi="宋体" w:eastAsia="宋体" w:cs="宋体"/>
          <w:sz w:val="24"/>
        </w:rPr>
        <w:t>近年来，全院教师承担国家社会科学基金、国家自然科学基金、科技部项目和教育部项目23项，省部级项目100余项，获省部级奖26项(其中一等奖3项，二等奖9项)，在国内外公开发表学术论文400余篇，主、参编教材20余部。学院积极开展对外合作办学。已与美国湖滨大学、美国卡尔斯顿大学、爱尔兰阿斯隆理工学院梅西大学、HAMK等学校签署合作办学协议</w:t>
      </w:r>
      <w:r>
        <w:rPr>
          <w:rFonts w:hint="eastAsia" w:ascii="宋体" w:hAnsi="宋体" w:eastAsia="宋体" w:cs="宋体"/>
          <w:sz w:val="24"/>
          <w:lang w:eastAsia="zh-CN"/>
        </w:rPr>
        <w:t>，</w:t>
      </w:r>
      <w:r>
        <w:rPr>
          <w:rFonts w:ascii="宋体" w:hAnsi="宋体" w:eastAsia="宋体" w:cs="宋体"/>
          <w:sz w:val="24"/>
        </w:rPr>
        <w:t>学院通过开办雅思班、英语兴趣班，成立专门管理机构为优秀学生出国留学提供全面优质服务。近年来，学院还先后聘请美国、瑞典等国家的专家学者来校讲学，也定期派出教师出国进修或访学。学院秉承“敦本务实、素义奉公的校训，坚持以人为本的办学理念，以培养应用型人才为目标，积极组织学生参加课外科技、社会实践活动，在全国“挑战杯”、数学建模、英语竞赛等活动中屡获嘉奖:积极建设创新创业教育课程体系，精心开展创新创业教育项目，全面打造学生的就业能力，毕业生次性就业率达90%以上。良好的办学条件，浓厚的学术氛围，加上全院师生的不懈努力和国内外专家学者的关心和支持，东华理工大学经济与管理学院正朝着更高的目标迈进</w:t>
      </w:r>
      <w:r>
        <w:rPr>
          <w:rFonts w:hint="eastAsia" w:ascii="宋体" w:hAnsi="宋体" w:eastAsia="宋体" w:cs="宋体"/>
          <w:sz w:val="24"/>
          <w:lang w:eastAsia="zh-CN"/>
        </w:rPr>
        <w:t>。</w:t>
      </w:r>
    </w:p>
    <w:p w14:paraId="76BF9A77">
      <w:pPr>
        <w:numPr>
          <w:ilvl w:val="0"/>
          <w:numId w:val="1"/>
        </w:numPr>
        <w:spacing w:line="560" w:lineRule="exact"/>
        <w:ind w:left="0" w:leftChars="0" w:firstLine="0" w:firstLineChars="0"/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学科方向</w:t>
      </w:r>
    </w:p>
    <w:p w14:paraId="4CD2080F">
      <w:pPr>
        <w:numPr>
          <w:ilvl w:val="0"/>
          <w:numId w:val="2"/>
        </w:numPr>
        <w:spacing w:line="560" w:lineRule="exact"/>
        <w:rPr>
          <w:rFonts w:hint="eastAsia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eastAsia="宋体" w:cs="宋体"/>
          <w:sz w:val="24"/>
          <w:lang w:val="en-US" w:eastAsia="zh-CN"/>
        </w:rPr>
        <w:t>企业管理</w:t>
      </w:r>
    </w:p>
    <w:p w14:paraId="3F61FA69">
      <w:pPr>
        <w:numPr>
          <w:ilvl w:val="0"/>
          <w:numId w:val="2"/>
        </w:numPr>
        <w:spacing w:line="560" w:lineRule="exact"/>
        <w:rPr>
          <w:rFonts w:hint="default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eastAsia="宋体" w:cs="宋体"/>
          <w:sz w:val="24"/>
          <w:lang w:val="en-US" w:eastAsia="zh-CN"/>
        </w:rPr>
        <w:t>会计学</w:t>
      </w:r>
    </w:p>
    <w:p w14:paraId="39341DB1">
      <w:pPr>
        <w:numPr>
          <w:ilvl w:val="0"/>
          <w:numId w:val="1"/>
        </w:numPr>
        <w:spacing w:line="560" w:lineRule="exact"/>
        <w:ind w:left="0" w:leftChars="0" w:firstLine="0" w:firstLineChars="0"/>
        <w:rPr>
          <w:rFonts w:ascii="Times New Roman" w:hAnsi="Times New Roman"/>
          <w:sz w:val="24"/>
        </w:rPr>
      </w:pPr>
      <w:r>
        <w:rPr>
          <w:rFonts w:hint="eastAsia"/>
          <w:b/>
          <w:bCs/>
          <w:sz w:val="28"/>
          <w:szCs w:val="28"/>
        </w:rPr>
        <w:t>培养目标</w:t>
      </w:r>
    </w:p>
    <w:p w14:paraId="08F3A176">
      <w:pPr>
        <w:pStyle w:val="5"/>
        <w:widowControl/>
        <w:spacing w:beforeAutospacing="0" w:after="240" w:afterAutospacing="0" w:line="560" w:lineRule="exact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1.企业管理方向：培养适应社会主义建设和经济发展需要，德、智、体、美全面发展，具备管理、经济、法律、计算机应用等方面的知识和能力，能在工商企业、事业单位及政府部门从事管理工作，具有创新能力的高素质应用型人才。本专业学生主要学习中级微观经济学、管理研究方法和高级财务管理的基本理论和基本知识，学习科学的基础理论;开展企业管理方法与技能的基本训练，具有分析和解决企业管理问题的基本能力;培养成为具有良好素质和综合工作能力、具有宽广知识面的复合型应用人才。</w:t>
      </w:r>
    </w:p>
    <w:p w14:paraId="2CA14DB6">
      <w:pPr>
        <w:pStyle w:val="5"/>
        <w:widowControl/>
        <w:spacing w:beforeAutospacing="0" w:after="240" w:afterAutospacing="0" w:line="560" w:lineRule="exact"/>
        <w:rPr>
          <w:rFonts w:ascii="宋体" w:hAnsi="宋体" w:eastAsia="宋体" w:cs="宋体"/>
        </w:rPr>
      </w:pPr>
      <w:r>
        <w:rPr>
          <w:rFonts w:hint="eastAsia" w:ascii="宋体" w:hAnsi="宋体" w:eastAsia="宋体" w:cs="宋体"/>
          <w:lang w:val="en-US" w:eastAsia="zh-CN"/>
        </w:rPr>
        <w:t>2.会计学方向：</w:t>
      </w:r>
      <w:r>
        <w:rPr>
          <w:rFonts w:hint="eastAsia" w:ascii="宋体" w:hAnsi="宋体" w:eastAsia="宋体" w:cs="宋体"/>
        </w:rPr>
        <w:t>以会计学、审计学、财务管理为基础的基本理论应用学科，以经济学、管理学的基本理论和知识为基础，主要学习财务会计的基础理论和基本技能，资本运营、资产重组、企业兼并方面的专业知识和国际会计核算的惯例，同时注重培养学生的实践能力，侧重于实务操作，通过会计手工模拟室和会计电算化实验室的基本训练能，培养学生分析和解决会计实际问题的基本能力和综合能力，同时注重强化学生财务管理、审计、经济法、税法方面知识的学习，为学生以后参加注册会计师考试打下坚实的专业基础。</w:t>
      </w:r>
    </w:p>
    <w:p w14:paraId="28F043D6">
      <w:pPr>
        <w:widowControl/>
        <w:numPr>
          <w:ilvl w:val="0"/>
          <w:numId w:val="1"/>
        </w:numPr>
        <w:spacing w:beforeAutospacing="0" w:afterAutospacing="0" w:line="560" w:lineRule="exact"/>
        <w:ind w:left="0" w:leftChars="0" w:firstLine="0" w:firstLineChars="0"/>
        <w:jc w:val="left"/>
        <w:rPr>
          <w:rFonts w:cs="Times New Roman" w:asciiTheme="minorHAnsi" w:hAnsiTheme="minorHAnsi" w:eastAsiaTheme="minorEastAsia"/>
          <w:b/>
          <w:bCs/>
          <w:kern w:val="0"/>
          <w:sz w:val="28"/>
          <w:szCs w:val="28"/>
          <w:lang w:val="en-US" w:eastAsia="zh-CN" w:bidi="ar-SA"/>
        </w:rPr>
      </w:pPr>
      <w:r>
        <w:rPr>
          <w:rFonts w:hint="eastAsia" w:cs="Times New Roman" w:asciiTheme="minorHAnsi" w:hAnsiTheme="minorHAnsi" w:eastAsiaTheme="minorEastAsia"/>
          <w:b/>
          <w:bCs/>
          <w:kern w:val="0"/>
          <w:sz w:val="28"/>
          <w:szCs w:val="28"/>
          <w:lang w:val="en-US" w:eastAsia="zh-CN" w:bidi="ar-SA"/>
        </w:rPr>
        <w:t>申请条件</w:t>
      </w:r>
    </w:p>
    <w:p w14:paraId="45902224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5" w:leftChars="0" w:hanging="425" w:firstLineChars="0"/>
        <w:textAlignment w:val="auto"/>
        <w:rPr>
          <w:rFonts w:hint="eastAsia" w:ascii="Times New Roman" w:hAnsi="Times New Roman"/>
          <w:sz w:val="24"/>
        </w:rPr>
      </w:pPr>
      <w:r>
        <w:rPr>
          <w:rFonts w:hint="eastAsia" w:ascii="Times New Roman" w:hAnsi="Times New Roman"/>
          <w:sz w:val="24"/>
        </w:rPr>
        <w:t>拥护《中华人民共和国宪法》，遵守法律、法规，品行端正。</w:t>
      </w:r>
    </w:p>
    <w:p w14:paraId="31838411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5" w:leftChars="0" w:hanging="425" w:firstLineChars="0"/>
        <w:textAlignment w:val="auto"/>
        <w:rPr>
          <w:rFonts w:hint="eastAsia" w:ascii="Times New Roman" w:hAnsi="Times New Roman"/>
          <w:sz w:val="24"/>
        </w:rPr>
      </w:pPr>
      <w:r>
        <w:rPr>
          <w:rFonts w:hint="eastAsia" w:ascii="Times New Roman" w:hAnsi="Times New Roman"/>
          <w:sz w:val="24"/>
        </w:rPr>
        <w:t>申请学员需获学士学位后在本专业或相关专业工作满三年及以上；或虽无学士学位但已获得硕士或博士学位；或通过教育部留学服务中心认证的国（境）外学士（</w:t>
      </w:r>
      <w:r>
        <w:rPr>
          <w:rFonts w:hint="eastAsia" w:ascii="Times New Roman" w:hAnsi="Times New Roman"/>
          <w:color w:val="auto"/>
          <w:sz w:val="24"/>
        </w:rPr>
        <w:t>本专业或相关专业工作满三年以上</w:t>
      </w:r>
      <w:r>
        <w:rPr>
          <w:rFonts w:hint="eastAsia" w:ascii="Times New Roman" w:hAnsi="Times New Roman"/>
          <w:sz w:val="24"/>
        </w:rPr>
        <w:t>）、硕士或博士学位获得者。</w:t>
      </w:r>
    </w:p>
    <w:p w14:paraId="3398CEFE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5" w:leftChars="0" w:hanging="425" w:firstLineChars="0"/>
        <w:textAlignment w:val="auto"/>
      </w:pPr>
      <w:r>
        <w:rPr>
          <w:rFonts w:hint="eastAsia" w:ascii="Times New Roman" w:hAnsi="Times New Roman"/>
          <w:sz w:val="24"/>
        </w:rPr>
        <w:t>在教学、科研、专门技术、管理等方面做出成绩，具有研究生毕业同等学力，学术水平或专门技术水平已达到学位授予标准的人员</w:t>
      </w:r>
    </w:p>
    <w:p w14:paraId="008877C2">
      <w:pPr>
        <w:numPr>
          <w:ilvl w:val="0"/>
          <w:numId w:val="1"/>
        </w:numPr>
        <w:spacing w:after="158" w:afterLines="50" w:line="560" w:lineRule="exact"/>
        <w:ind w:left="0" w:leftChars="0" w:firstLine="0" w:firstLineChars="0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报名方式</w:t>
      </w:r>
    </w:p>
    <w:p w14:paraId="6DA749C0">
      <w:pPr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5" w:leftChars="0" w:hanging="425" w:firstLineChars="0"/>
        <w:textAlignment w:val="auto"/>
        <w:rPr>
          <w:rFonts w:hint="eastAsia" w:ascii="Times New Roman" w:hAnsi="Times New Roman"/>
          <w:sz w:val="24"/>
        </w:rPr>
      </w:pPr>
      <w:r>
        <w:rPr>
          <w:rFonts w:hint="eastAsia" w:ascii="Times New Roman" w:hAnsi="Times New Roman"/>
          <w:sz w:val="24"/>
          <w:highlight w:val="yellow"/>
        </w:rPr>
        <w:t>学习中心报名。</w:t>
      </w:r>
      <w:r>
        <w:rPr>
          <w:rFonts w:hint="eastAsia" w:ascii="Times New Roman" w:hAnsi="Times New Roman"/>
          <w:sz w:val="24"/>
        </w:rPr>
        <w:t>须提交《东华理工大学同等学力人员申请硕士学位申请表》、身份证正反面扫描件、毕业证书扫描件、学位证书扫描件、一寸蓝底照片、教育部学历证书电子注册备案表、中国高等教育学位在线验证报告。报名截止时间以东华理工大学通知为准。</w:t>
      </w:r>
    </w:p>
    <w:p w14:paraId="06C568BF">
      <w:pPr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5" w:leftChars="0" w:hanging="425" w:firstLineChars="0"/>
        <w:textAlignment w:val="auto"/>
        <w:rPr>
          <w:rFonts w:ascii="宋体" w:hAnsi="宋体" w:eastAsia="宋体" w:cs="宋体"/>
          <w:sz w:val="24"/>
        </w:rPr>
      </w:pPr>
      <w:r>
        <w:rPr>
          <w:rFonts w:hint="eastAsia" w:ascii="Times New Roman" w:hAnsi="Times New Roman"/>
          <w:sz w:val="24"/>
        </w:rPr>
        <w:t>经我校审查报名资格通过后，无需参加入学考试，即可参加我校课程学习。</w:t>
      </w:r>
    </w:p>
    <w:p w14:paraId="1C8F54F4">
      <w:pPr>
        <w:numPr>
          <w:ilvl w:val="0"/>
          <w:numId w:val="1"/>
        </w:numPr>
        <w:spacing w:before="158" w:beforeLines="50" w:after="158" w:afterLines="50" w:line="560" w:lineRule="exact"/>
        <w:ind w:left="0" w:leftChars="0" w:firstLine="0" w:firstLineChars="0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课程学习</w:t>
      </w:r>
    </w:p>
    <w:p w14:paraId="77E50795">
      <w:pPr>
        <w:numPr>
          <w:ilvl w:val="0"/>
          <w:numId w:val="0"/>
        </w:numPr>
        <w:spacing w:line="560" w:lineRule="exact"/>
        <w:ind w:left="283" w:leftChars="0" w:hanging="283" w:firstLineChars="0"/>
        <w:rPr>
          <w:rFonts w:ascii="Times New Roman" w:hAnsi="Times New Roman"/>
          <w:sz w:val="24"/>
        </w:rPr>
      </w:pPr>
      <w:r>
        <w:rPr>
          <w:rFonts w:hint="default" w:ascii="Times New Roman" w:hAnsi="Times New Roman" w:eastAsiaTheme="minorEastAsia" w:cstheme="minorBidi"/>
          <w:kern w:val="2"/>
          <w:sz w:val="24"/>
          <w:szCs w:val="24"/>
          <w:lang w:val="en-US" w:eastAsia="zh-CN" w:bidi="ar-SA"/>
        </w:rPr>
        <w:t>1.</w:t>
      </w:r>
      <w:r>
        <w:rPr>
          <w:rFonts w:hint="eastAsia" w:ascii="Times New Roman" w:hAnsi="Times New Roman"/>
          <w:sz w:val="24"/>
        </w:rPr>
        <w:t>学习方式：采取在职不脱</w:t>
      </w:r>
      <w:r>
        <w:rPr>
          <w:rFonts w:hint="eastAsia" w:ascii="Times New Roman" w:hAnsi="Times New Roman"/>
          <w:color w:val="auto"/>
          <w:sz w:val="24"/>
        </w:rPr>
        <w:t>产的网络学习方式。</w:t>
      </w:r>
    </w:p>
    <w:p w14:paraId="6877DEE7">
      <w:pPr>
        <w:numPr>
          <w:ilvl w:val="0"/>
          <w:numId w:val="0"/>
        </w:numPr>
        <w:spacing w:line="560" w:lineRule="exact"/>
        <w:ind w:left="283" w:leftChars="0" w:hanging="283" w:firstLineChars="0"/>
        <w:rPr>
          <w:rFonts w:hint="eastAsia" w:ascii="Times New Roman" w:hAnsi="Times New Roman"/>
          <w:sz w:val="24"/>
        </w:rPr>
      </w:pPr>
      <w:r>
        <w:rPr>
          <w:rFonts w:hint="default" w:ascii="Times New Roman" w:hAnsi="Times New Roman" w:eastAsiaTheme="minorEastAsia" w:cstheme="minorBidi"/>
          <w:kern w:val="2"/>
          <w:sz w:val="24"/>
          <w:szCs w:val="24"/>
          <w:lang w:val="en-US" w:eastAsia="zh-CN" w:bidi="ar-SA"/>
        </w:rPr>
        <w:t>2.</w:t>
      </w:r>
      <w:r>
        <w:rPr>
          <w:rFonts w:hint="eastAsia" w:ascii="Times New Roman" w:hAnsi="Times New Roman"/>
          <w:sz w:val="24"/>
        </w:rPr>
        <w:t>学习时间：寒假、暑假或周末集中网络授课。</w:t>
      </w:r>
    </w:p>
    <w:p w14:paraId="050295DC">
      <w:pPr>
        <w:numPr>
          <w:ilvl w:val="0"/>
          <w:numId w:val="1"/>
        </w:numPr>
        <w:spacing w:before="158" w:beforeLines="50"/>
        <w:ind w:left="0" w:leftChars="0" w:firstLine="0" w:firstLineChars="0"/>
        <w:rPr>
          <w:rFonts w:hint="default"/>
          <w:b/>
          <w:bCs/>
          <w:sz w:val="28"/>
          <w:szCs w:val="28"/>
          <w:lang w:val="en-US" w:eastAsia="zh-CN"/>
        </w:rPr>
      </w:pPr>
      <w:r>
        <w:rPr>
          <w:rFonts w:hint="eastAsia" w:asciiTheme="minorHAnsi" w:eastAsiaTheme="minorEastAsia"/>
          <w:b/>
          <w:bCs/>
          <w:sz w:val="28"/>
          <w:szCs w:val="28"/>
          <w:lang w:val="en-US" w:eastAsia="zh-CN"/>
        </w:rPr>
        <w:t>专业优势</w:t>
      </w:r>
    </w:p>
    <w:p w14:paraId="435BB78B">
      <w:pPr>
        <w:numPr>
          <w:ilvl w:val="0"/>
          <w:numId w:val="0"/>
        </w:numPr>
        <w:spacing w:line="560" w:lineRule="exact"/>
        <w:ind w:left="283" w:leftChars="0" w:hanging="283" w:firstLineChars="0"/>
        <w:rPr>
          <w:rFonts w:hint="default" w:ascii="Times New Roman" w:hAnsi="Times New Roman"/>
          <w:sz w:val="24"/>
          <w:lang w:val="en-US" w:eastAsia="zh-CN"/>
        </w:rPr>
      </w:pPr>
      <w:r>
        <w:rPr>
          <w:rFonts w:hint="default" w:ascii="Times New Roman" w:hAnsi="Times New Roman"/>
          <w:sz w:val="24"/>
          <w:lang w:val="en-US" w:eastAsia="zh-CN"/>
        </w:rPr>
        <w:t>【免试入学可申硕】学员达报考条件即可免试入学，满足申硕要求即可申硕考试，边学边考，成绩合格者可获取东华理工大学硕士学位证书；</w:t>
      </w:r>
    </w:p>
    <w:p w14:paraId="4E75086A">
      <w:pPr>
        <w:numPr>
          <w:ilvl w:val="0"/>
          <w:numId w:val="0"/>
        </w:numPr>
        <w:spacing w:line="560" w:lineRule="exact"/>
        <w:ind w:left="283" w:leftChars="0" w:hanging="283" w:firstLineChars="0"/>
        <w:rPr>
          <w:rFonts w:hint="default" w:ascii="Times New Roman" w:hAnsi="Times New Roman"/>
          <w:sz w:val="24"/>
          <w:lang w:val="en-US" w:eastAsia="zh-CN"/>
        </w:rPr>
      </w:pPr>
      <w:r>
        <w:rPr>
          <w:rFonts w:hint="default" w:ascii="Times New Roman" w:hAnsi="Times New Roman"/>
          <w:sz w:val="24"/>
          <w:lang w:val="en-US" w:eastAsia="zh-CN"/>
        </w:rPr>
        <w:t>【证书含金量高】学员所获取学位证书学位网可查，证书可用于继续攻读博士学位、评职称以及公务员考试等个人职场提升用途；</w:t>
      </w:r>
    </w:p>
    <w:p w14:paraId="1119D0EB">
      <w:pPr>
        <w:numPr>
          <w:ilvl w:val="0"/>
          <w:numId w:val="0"/>
        </w:numPr>
        <w:spacing w:line="560" w:lineRule="exact"/>
        <w:ind w:left="283" w:leftChars="0" w:hanging="283" w:firstLineChars="0"/>
        <w:rPr>
          <w:rFonts w:hint="default" w:ascii="Times New Roman" w:hAnsi="Times New Roman"/>
          <w:color w:val="auto"/>
          <w:sz w:val="24"/>
          <w:highlight w:val="none"/>
          <w:lang w:val="en-US" w:eastAsia="zh-CN"/>
        </w:rPr>
      </w:pPr>
      <w:r>
        <w:rPr>
          <w:rFonts w:hint="default" w:ascii="Times New Roman" w:hAnsi="Times New Roman"/>
          <w:color w:val="auto"/>
          <w:sz w:val="24"/>
          <w:highlight w:val="none"/>
          <w:lang w:val="en-US" w:eastAsia="zh-CN"/>
        </w:rPr>
        <w:t>【学费性价比高】申硕费用低于同类高等院校1-2万元；</w:t>
      </w:r>
    </w:p>
    <w:p w14:paraId="033E126E">
      <w:pPr>
        <w:numPr>
          <w:ilvl w:val="0"/>
          <w:numId w:val="0"/>
        </w:numPr>
        <w:spacing w:line="560" w:lineRule="exact"/>
        <w:ind w:left="283" w:leftChars="0" w:hanging="283" w:firstLineChars="0"/>
        <w:rPr>
          <w:rFonts w:hint="default" w:ascii="Times New Roman" w:hAnsi="Times New Roman"/>
          <w:sz w:val="24"/>
          <w:lang w:val="en-US" w:eastAsia="zh-CN"/>
        </w:rPr>
      </w:pPr>
      <w:r>
        <w:rPr>
          <w:rFonts w:hint="default" w:ascii="Times New Roman" w:hAnsi="Times New Roman"/>
          <w:sz w:val="24"/>
          <w:lang w:val="en-US" w:eastAsia="zh-CN"/>
        </w:rPr>
        <w:t>【学习方式灵活】全国远程班，学习方式灵活；</w:t>
      </w:r>
    </w:p>
    <w:p w14:paraId="13A79637">
      <w:pPr>
        <w:numPr>
          <w:ilvl w:val="0"/>
          <w:numId w:val="0"/>
        </w:numPr>
        <w:spacing w:line="560" w:lineRule="exact"/>
        <w:ind w:left="283" w:leftChars="0" w:hanging="283" w:firstLineChars="0"/>
        <w:rPr>
          <w:rFonts w:hint="default" w:ascii="Times New Roman" w:hAnsi="Times New Roman"/>
          <w:sz w:val="24"/>
          <w:lang w:val="en-US" w:eastAsia="zh-CN"/>
        </w:rPr>
      </w:pPr>
      <w:r>
        <w:rPr>
          <w:rFonts w:hint="default" w:ascii="Times New Roman" w:hAnsi="Times New Roman"/>
          <w:sz w:val="24"/>
          <w:lang w:val="en-US" w:eastAsia="zh-CN"/>
        </w:rPr>
        <w:t>【申硕机会多】学校学制保留6年，达申硕条件即可申请4年内每年5月同等学力申硕考试；</w:t>
      </w:r>
    </w:p>
    <w:p w14:paraId="66F8C80C">
      <w:pPr>
        <w:numPr>
          <w:ilvl w:val="0"/>
          <w:numId w:val="0"/>
        </w:numPr>
        <w:spacing w:line="560" w:lineRule="exact"/>
        <w:ind w:left="283" w:leftChars="0" w:hanging="283" w:firstLineChars="0"/>
        <w:rPr>
          <w:rFonts w:hint="default" w:ascii="Times New Roman" w:hAnsi="Times New Roman"/>
          <w:sz w:val="24"/>
          <w:lang w:val="en-US" w:eastAsia="zh-CN"/>
        </w:rPr>
      </w:pPr>
      <w:r>
        <w:rPr>
          <w:rFonts w:hint="default" w:ascii="Times New Roman" w:hAnsi="Times New Roman"/>
          <w:sz w:val="24"/>
          <w:lang w:val="en-US" w:eastAsia="zh-CN"/>
        </w:rPr>
        <w:t>【申硕通过率高】设申硕考前辅导，360度全方位剖析考纲、考点，提高申硕通过率。</w:t>
      </w:r>
    </w:p>
    <w:p w14:paraId="686DD6C6">
      <w:pPr>
        <w:spacing w:before="158" w:beforeLines="50"/>
        <w:rPr>
          <w:rFonts w:hint="eastAsia" w:ascii="黑体" w:hAnsi="黑体" w:eastAsia="黑体"/>
          <w:sz w:val="32"/>
        </w:rPr>
      </w:pPr>
    </w:p>
    <w:p w14:paraId="09AC2966">
      <w:pPr>
        <w:numPr>
          <w:ilvl w:val="0"/>
          <w:numId w:val="1"/>
        </w:numPr>
        <w:spacing w:before="158" w:beforeLines="50"/>
        <w:ind w:left="0" w:leftChars="0" w:firstLine="0" w:firstLineChars="0"/>
        <w:rPr>
          <w:rFonts w:hint="eastAsia" w:ascii="黑体" w:hAnsi="黑体" w:eastAsia="黑体"/>
          <w:sz w:val="32"/>
        </w:rPr>
      </w:pPr>
      <w:r>
        <w:rPr>
          <w:rFonts w:hint="eastAsia"/>
          <w:b/>
          <w:bCs/>
          <w:sz w:val="28"/>
          <w:szCs w:val="28"/>
        </w:rPr>
        <w:t>课程设置</w:t>
      </w:r>
    </w:p>
    <w:p w14:paraId="4BB469B6">
      <w:pPr>
        <w:spacing w:after="158" w:afterLines="50" w:line="560" w:lineRule="exact"/>
        <w:jc w:val="center"/>
        <w:rPr>
          <w:rFonts w:ascii="Calibri" w:hAnsi="Calibri"/>
          <w:b/>
          <w:sz w:val="30"/>
          <w:szCs w:val="30"/>
        </w:rPr>
      </w:pPr>
      <w:r>
        <w:rPr>
          <w:rFonts w:hint="eastAsia" w:ascii="黑体" w:hAnsi="黑体" w:eastAsia="黑体"/>
          <w:sz w:val="30"/>
          <w:szCs w:val="30"/>
          <w:lang w:val="en-US" w:eastAsia="zh-CN"/>
        </w:rPr>
        <w:t>工商管理</w:t>
      </w:r>
      <w:r>
        <w:rPr>
          <w:rFonts w:hint="eastAsia" w:ascii="黑体" w:hAnsi="黑体" w:eastAsia="黑体"/>
          <w:sz w:val="30"/>
          <w:szCs w:val="30"/>
        </w:rPr>
        <w:t>学术学位硕士研究生课程设置与教学计划表</w:t>
      </w:r>
    </w:p>
    <w:p w14:paraId="410F0D70">
      <w:pPr>
        <w:rPr>
          <w:rFonts w:hint="eastAsia" w:eastAsia="黑体"/>
          <w:lang w:eastAsia="zh-CN"/>
        </w:rPr>
      </w:pPr>
      <w:r>
        <w:rPr>
          <w:rFonts w:hint="eastAsia" w:eastAsia="黑体"/>
        </w:rPr>
        <w:t>学科名称：</w:t>
      </w:r>
      <w:r>
        <w:rPr>
          <w:rFonts w:hint="eastAsia" w:eastAsia="黑体"/>
          <w:lang w:val="en-US" w:eastAsia="zh-CN"/>
        </w:rPr>
        <w:t>工商管理学</w:t>
      </w:r>
      <w:r>
        <w:rPr>
          <w:rFonts w:hint="eastAsia" w:eastAsia="黑体"/>
        </w:rPr>
        <w:t xml:space="preserve">                      </w:t>
      </w:r>
      <w:r>
        <w:rPr>
          <w:rFonts w:hint="eastAsia" w:eastAsia="黑体"/>
          <w:lang w:val="en-US" w:eastAsia="zh-CN"/>
        </w:rPr>
        <w:t xml:space="preserve">  </w:t>
      </w:r>
      <w:r>
        <w:rPr>
          <w:rFonts w:hint="eastAsia" w:eastAsia="黑体"/>
        </w:rPr>
        <w:t xml:space="preserve">                  学科代码：12020</w:t>
      </w:r>
      <w:r>
        <w:rPr>
          <w:rFonts w:hint="eastAsia" w:eastAsia="黑体"/>
          <w:lang w:val="en-US" w:eastAsia="zh-CN"/>
        </w:rPr>
        <w:t>0</w:t>
      </w:r>
    </w:p>
    <w:tbl>
      <w:tblPr>
        <w:tblStyle w:val="6"/>
        <w:tblW w:w="917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44"/>
        <w:gridCol w:w="1361"/>
        <w:gridCol w:w="3794"/>
        <w:gridCol w:w="829"/>
        <w:gridCol w:w="1350"/>
      </w:tblGrid>
      <w:tr w14:paraId="5EB3F0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4" w:hRule="atLeast"/>
          <w:jc w:val="center"/>
        </w:trPr>
        <w:tc>
          <w:tcPr>
            <w:tcW w:w="184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598BFF3A">
            <w:pPr>
              <w:jc w:val="center"/>
              <w:rPr>
                <w:rFonts w:hint="eastAsia" w:ascii="宋体" w:hAnsi="宋体" w:eastAsia="宋体" w:cs="宋体"/>
                <w:b/>
                <w:bCs/>
                <w:sz w:val="20"/>
                <w:szCs w:val="28"/>
              </w:rPr>
            </w:pPr>
            <w:r>
              <w:rPr>
                <w:rFonts w:ascii="宋体" w:hAnsi="宋体" w:eastAsia="宋体" w:cs="宋体"/>
                <w:b/>
                <w:bCs/>
                <w:sz w:val="20"/>
                <w:szCs w:val="28"/>
              </w:rPr>
              <w:t>课程类别</w:t>
            </w:r>
          </w:p>
        </w:tc>
        <w:tc>
          <w:tcPr>
            <w:tcW w:w="136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6503CA68">
            <w:pPr>
              <w:jc w:val="center"/>
              <w:rPr>
                <w:rFonts w:ascii="宋体" w:hAnsi="宋体" w:eastAsia="宋体" w:cs="宋体"/>
                <w:b/>
                <w:bCs/>
                <w:sz w:val="20"/>
                <w:szCs w:val="28"/>
              </w:rPr>
            </w:pPr>
            <w:r>
              <w:rPr>
                <w:rFonts w:ascii="宋体" w:hAnsi="宋体" w:eastAsia="宋体" w:cs="宋体"/>
                <w:b/>
                <w:bCs/>
                <w:sz w:val="20"/>
                <w:szCs w:val="28"/>
              </w:rPr>
              <w:t>课程编号</w:t>
            </w:r>
          </w:p>
        </w:tc>
        <w:tc>
          <w:tcPr>
            <w:tcW w:w="37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739C783B">
            <w:pPr>
              <w:jc w:val="center"/>
              <w:rPr>
                <w:rFonts w:ascii="宋体" w:hAnsi="宋体" w:eastAsia="宋体" w:cs="宋体"/>
                <w:b/>
                <w:bCs/>
                <w:sz w:val="20"/>
                <w:szCs w:val="28"/>
              </w:rPr>
            </w:pPr>
            <w:r>
              <w:rPr>
                <w:rFonts w:ascii="宋体" w:hAnsi="宋体" w:eastAsia="宋体" w:cs="宋体"/>
                <w:b/>
                <w:bCs/>
                <w:sz w:val="20"/>
                <w:szCs w:val="28"/>
              </w:rPr>
              <w:t>课程名称</w:t>
            </w:r>
          </w:p>
        </w:tc>
        <w:tc>
          <w:tcPr>
            <w:tcW w:w="8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30D5C2DE">
            <w:pPr>
              <w:jc w:val="center"/>
              <w:rPr>
                <w:rFonts w:ascii="宋体" w:hAnsi="宋体" w:eastAsia="宋体" w:cs="宋体"/>
                <w:b/>
                <w:bCs/>
                <w:sz w:val="20"/>
                <w:szCs w:val="28"/>
              </w:rPr>
            </w:pPr>
            <w:r>
              <w:rPr>
                <w:rFonts w:ascii="宋体" w:hAnsi="宋体" w:eastAsia="宋体" w:cs="宋体"/>
                <w:b/>
                <w:bCs/>
                <w:sz w:val="20"/>
                <w:szCs w:val="28"/>
              </w:rPr>
              <w:t>总学时</w:t>
            </w:r>
          </w:p>
        </w:tc>
        <w:tc>
          <w:tcPr>
            <w:tcW w:w="13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107CBD20">
            <w:pPr>
              <w:jc w:val="center"/>
              <w:rPr>
                <w:rFonts w:ascii="宋体" w:hAnsi="宋体" w:eastAsia="宋体" w:cs="宋体"/>
                <w:b/>
                <w:bCs/>
                <w:sz w:val="20"/>
                <w:szCs w:val="28"/>
              </w:rPr>
            </w:pPr>
            <w:r>
              <w:rPr>
                <w:rFonts w:ascii="宋体" w:hAnsi="宋体" w:eastAsia="宋体" w:cs="宋体"/>
                <w:b/>
                <w:bCs/>
                <w:sz w:val="20"/>
                <w:szCs w:val="28"/>
              </w:rPr>
              <w:t>学分</w:t>
            </w:r>
          </w:p>
        </w:tc>
      </w:tr>
      <w:tr w14:paraId="266A5F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1844" w:type="dxa"/>
            <w:vMerge w:val="restart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67CC0AE4">
            <w:pPr>
              <w:jc w:val="center"/>
              <w:rPr>
                <w:rFonts w:ascii="宋体" w:hAnsi="宋体" w:eastAsia="宋体" w:cs="宋体"/>
                <w:b/>
                <w:bCs/>
                <w:sz w:val="20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</w:rPr>
              <w:t>公共基础课</w:t>
            </w:r>
          </w:p>
        </w:tc>
        <w:tc>
          <w:tcPr>
            <w:tcW w:w="136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521CB38E">
            <w:pPr>
              <w:jc w:val="center"/>
              <w:rPr>
                <w:rFonts w:ascii="宋体" w:hAnsi="宋体" w:eastAsia="宋体" w:cs="宋体"/>
                <w:b/>
                <w:bCs/>
                <w:sz w:val="20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</w:rPr>
              <w:t>10001001</w:t>
            </w:r>
          </w:p>
        </w:tc>
        <w:tc>
          <w:tcPr>
            <w:tcW w:w="37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0ABF0BA0">
            <w:pPr>
              <w:jc w:val="center"/>
              <w:rPr>
                <w:rFonts w:ascii="宋体" w:hAnsi="宋体" w:eastAsia="宋体" w:cs="宋体"/>
                <w:b/>
                <w:bCs/>
                <w:sz w:val="20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Cs w:val="21"/>
              </w:rPr>
              <w:t>英语（I）（II）</w:t>
            </w:r>
          </w:p>
        </w:tc>
        <w:tc>
          <w:tcPr>
            <w:tcW w:w="8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6B541079">
            <w:pPr>
              <w:jc w:val="center"/>
              <w:rPr>
                <w:rFonts w:ascii="宋体" w:hAnsi="宋体" w:eastAsia="宋体" w:cs="宋体"/>
                <w:b/>
                <w:bCs/>
                <w:sz w:val="20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0"/>
                <w:szCs w:val="28"/>
              </w:rPr>
              <w:t>144</w:t>
            </w:r>
          </w:p>
        </w:tc>
        <w:tc>
          <w:tcPr>
            <w:tcW w:w="13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0B01AD9B">
            <w:pPr>
              <w:jc w:val="center"/>
              <w:rPr>
                <w:rFonts w:ascii="宋体" w:hAnsi="宋体" w:eastAsia="宋体" w:cs="宋体"/>
                <w:b/>
                <w:bCs/>
                <w:sz w:val="20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0"/>
                <w:szCs w:val="28"/>
              </w:rPr>
              <w:t>4</w:t>
            </w:r>
          </w:p>
        </w:tc>
      </w:tr>
      <w:tr w14:paraId="1401C8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2" w:hRule="atLeast"/>
          <w:jc w:val="center"/>
        </w:trPr>
        <w:tc>
          <w:tcPr>
            <w:tcW w:w="1844" w:type="dxa"/>
            <w:vMerge w:val="continue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3663982B">
            <w:pPr>
              <w:jc w:val="center"/>
              <w:rPr>
                <w:rFonts w:ascii="宋体" w:hAnsi="宋体" w:eastAsia="宋体" w:cs="宋体"/>
                <w:b/>
                <w:bCs/>
                <w:sz w:val="20"/>
                <w:szCs w:val="28"/>
              </w:rPr>
            </w:pPr>
          </w:p>
        </w:tc>
        <w:tc>
          <w:tcPr>
            <w:tcW w:w="136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4368EC09">
            <w:pPr>
              <w:jc w:val="center"/>
              <w:rPr>
                <w:rFonts w:ascii="宋体" w:hAnsi="宋体" w:eastAsia="宋体" w:cs="宋体"/>
                <w:b/>
                <w:bCs/>
                <w:sz w:val="20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</w:rPr>
              <w:t>10000001</w:t>
            </w:r>
          </w:p>
        </w:tc>
        <w:tc>
          <w:tcPr>
            <w:tcW w:w="37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3BDD3824">
            <w:pPr>
              <w:jc w:val="center"/>
              <w:rPr>
                <w:rFonts w:ascii="宋体" w:hAnsi="宋体" w:eastAsia="宋体" w:cs="宋体"/>
                <w:b/>
                <w:bCs/>
                <w:sz w:val="20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</w:rPr>
              <w:t>中国特色社会主义理论与实践研究</w:t>
            </w:r>
          </w:p>
        </w:tc>
        <w:tc>
          <w:tcPr>
            <w:tcW w:w="8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3C02CB9A">
            <w:pPr>
              <w:adjustRightInd w:val="0"/>
              <w:jc w:val="center"/>
              <w:textAlignment w:val="baseline"/>
              <w:rPr>
                <w:rFonts w:hint="eastAsia" w:ascii="宋体" w:hAnsi="宋体" w:eastAsia="宋体" w:cs="宋体"/>
                <w:b/>
                <w:bCs/>
                <w:sz w:val="20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0"/>
                <w:szCs w:val="28"/>
              </w:rPr>
              <w:t>3</w:t>
            </w:r>
            <w:r>
              <w:rPr>
                <w:rFonts w:hint="eastAsia" w:ascii="宋体" w:hAnsi="宋体" w:eastAsia="宋体" w:cs="宋体"/>
                <w:b/>
                <w:bCs/>
                <w:sz w:val="20"/>
                <w:szCs w:val="28"/>
                <w:lang w:val="en-US" w:eastAsia="zh-CN"/>
              </w:rPr>
              <w:t>2</w:t>
            </w:r>
            <w:bookmarkStart w:id="0" w:name="_GoBack"/>
            <w:bookmarkEnd w:id="0"/>
          </w:p>
        </w:tc>
        <w:tc>
          <w:tcPr>
            <w:tcW w:w="13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2AB15931">
            <w:pPr>
              <w:adjustRightInd w:val="0"/>
              <w:jc w:val="center"/>
              <w:textAlignment w:val="baseline"/>
              <w:rPr>
                <w:rFonts w:ascii="宋体" w:hAnsi="宋体" w:eastAsia="宋体" w:cs="宋体"/>
                <w:b/>
                <w:bCs/>
                <w:sz w:val="20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0"/>
                <w:szCs w:val="28"/>
              </w:rPr>
              <w:t>2</w:t>
            </w:r>
          </w:p>
        </w:tc>
      </w:tr>
      <w:tr w14:paraId="106647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2" w:hRule="atLeast"/>
          <w:jc w:val="center"/>
        </w:trPr>
        <w:tc>
          <w:tcPr>
            <w:tcW w:w="1844" w:type="dxa"/>
            <w:vMerge w:val="continue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0A2AC8BB">
            <w:pPr>
              <w:jc w:val="center"/>
              <w:rPr>
                <w:rFonts w:ascii="宋体" w:hAnsi="宋体" w:eastAsia="宋体" w:cs="宋体"/>
                <w:b/>
                <w:bCs/>
                <w:sz w:val="20"/>
                <w:szCs w:val="28"/>
              </w:rPr>
            </w:pPr>
          </w:p>
        </w:tc>
        <w:tc>
          <w:tcPr>
            <w:tcW w:w="136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0723CC16">
            <w:pPr>
              <w:jc w:val="center"/>
              <w:rPr>
                <w:rFonts w:ascii="宋体" w:hAnsi="宋体" w:eastAsia="宋体" w:cs="宋体"/>
                <w:b/>
                <w:bCs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</w:rPr>
              <w:t>10000002</w:t>
            </w:r>
          </w:p>
        </w:tc>
        <w:tc>
          <w:tcPr>
            <w:tcW w:w="37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09EE72C5">
            <w:pPr>
              <w:jc w:val="center"/>
              <w:rPr>
                <w:rFonts w:ascii="宋体" w:hAnsi="宋体" w:eastAsia="宋体" w:cs="宋体"/>
                <w:b/>
                <w:bCs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0"/>
                <w:szCs w:val="20"/>
              </w:rPr>
              <w:t>自然辩证法</w:t>
            </w:r>
          </w:p>
        </w:tc>
        <w:tc>
          <w:tcPr>
            <w:tcW w:w="8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731E6EC7">
            <w:pPr>
              <w:adjustRightInd w:val="0"/>
              <w:jc w:val="center"/>
              <w:textAlignment w:val="baseline"/>
              <w:rPr>
                <w:rFonts w:ascii="宋体" w:hAnsi="宋体" w:eastAsia="宋体" w:cs="宋体"/>
                <w:b/>
                <w:bCs/>
                <w:sz w:val="20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Cs w:val="21"/>
              </w:rPr>
              <w:t>32</w:t>
            </w:r>
          </w:p>
        </w:tc>
        <w:tc>
          <w:tcPr>
            <w:tcW w:w="13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017527A9">
            <w:pPr>
              <w:adjustRightInd w:val="0"/>
              <w:jc w:val="center"/>
              <w:textAlignment w:val="baseline"/>
              <w:rPr>
                <w:rFonts w:ascii="宋体" w:hAnsi="宋体" w:eastAsia="宋体" w:cs="宋体"/>
                <w:b/>
                <w:bCs/>
                <w:sz w:val="20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0"/>
                <w:szCs w:val="28"/>
              </w:rPr>
              <w:t>2</w:t>
            </w:r>
          </w:p>
        </w:tc>
      </w:tr>
      <w:tr w14:paraId="377AA2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2" w:hRule="atLeast"/>
          <w:jc w:val="center"/>
        </w:trPr>
        <w:tc>
          <w:tcPr>
            <w:tcW w:w="1844" w:type="dxa"/>
            <w:vMerge w:val="restart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2184BE85">
            <w:pPr>
              <w:jc w:val="center"/>
              <w:rPr>
                <w:rFonts w:ascii="宋体" w:hAnsi="宋体" w:eastAsia="宋体" w:cs="宋体"/>
                <w:b/>
                <w:bCs/>
                <w:sz w:val="20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</w:rPr>
              <w:t>专业必修课</w:t>
            </w:r>
          </w:p>
        </w:tc>
        <w:tc>
          <w:tcPr>
            <w:tcW w:w="136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469BCC27">
            <w:pPr>
              <w:jc w:val="center"/>
              <w:rPr>
                <w:rFonts w:ascii="宋体" w:hAnsi="宋体" w:eastAsia="宋体" w:cs="宋体"/>
                <w:b/>
                <w:bCs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</w:rPr>
              <w:t>12070509</w:t>
            </w:r>
          </w:p>
        </w:tc>
        <w:tc>
          <w:tcPr>
            <w:tcW w:w="37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4C0079DE">
            <w:pPr>
              <w:jc w:val="center"/>
              <w:rPr>
                <w:rFonts w:ascii="宋体" w:hAnsi="宋体" w:eastAsia="宋体" w:cs="宋体"/>
                <w:b/>
                <w:bCs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</w:rPr>
              <w:t>中级微观经济学</w:t>
            </w:r>
          </w:p>
        </w:tc>
        <w:tc>
          <w:tcPr>
            <w:tcW w:w="8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46821771">
            <w:pPr>
              <w:adjustRightInd w:val="0"/>
              <w:jc w:val="center"/>
              <w:textAlignment w:val="baseline"/>
              <w:rPr>
                <w:rFonts w:ascii="宋体" w:hAnsi="宋体" w:eastAsia="宋体" w:cs="宋体"/>
                <w:b/>
                <w:bCs/>
                <w:sz w:val="20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Cs w:val="21"/>
              </w:rPr>
              <w:t>32</w:t>
            </w:r>
          </w:p>
        </w:tc>
        <w:tc>
          <w:tcPr>
            <w:tcW w:w="13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2ABD633B">
            <w:pPr>
              <w:jc w:val="center"/>
              <w:rPr>
                <w:rFonts w:ascii="宋体" w:hAnsi="宋体" w:eastAsia="宋体" w:cs="宋体"/>
                <w:b/>
                <w:bCs/>
                <w:sz w:val="20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</w:rPr>
              <w:t>2</w:t>
            </w:r>
          </w:p>
        </w:tc>
      </w:tr>
      <w:tr w14:paraId="5911AC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9" w:hRule="atLeast"/>
          <w:jc w:val="center"/>
        </w:trPr>
        <w:tc>
          <w:tcPr>
            <w:tcW w:w="1844" w:type="dxa"/>
            <w:vMerge w:val="continue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404BBFAA">
            <w:pPr>
              <w:jc w:val="center"/>
              <w:rPr>
                <w:rFonts w:ascii="宋体" w:hAnsi="宋体" w:eastAsia="宋体" w:cs="宋体"/>
                <w:b/>
                <w:bCs/>
                <w:sz w:val="20"/>
                <w:szCs w:val="28"/>
              </w:rPr>
            </w:pPr>
          </w:p>
        </w:tc>
        <w:tc>
          <w:tcPr>
            <w:tcW w:w="136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499620F5">
            <w:pPr>
              <w:jc w:val="center"/>
              <w:rPr>
                <w:rFonts w:ascii="宋体" w:hAnsi="宋体" w:eastAsia="宋体" w:cs="宋体"/>
                <w:b/>
                <w:bCs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</w:rPr>
              <w:t>12070741</w:t>
            </w:r>
          </w:p>
        </w:tc>
        <w:tc>
          <w:tcPr>
            <w:tcW w:w="37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31B2DB8D">
            <w:pPr>
              <w:jc w:val="center"/>
              <w:rPr>
                <w:rFonts w:ascii="宋体" w:hAnsi="宋体" w:eastAsia="宋体" w:cs="宋体"/>
                <w:b/>
                <w:bCs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</w:rPr>
              <w:t>管理学理论前沿</w:t>
            </w:r>
          </w:p>
        </w:tc>
        <w:tc>
          <w:tcPr>
            <w:tcW w:w="8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4F956182">
            <w:pPr>
              <w:adjustRightInd w:val="0"/>
              <w:jc w:val="center"/>
              <w:textAlignment w:val="baseline"/>
              <w:rPr>
                <w:rFonts w:ascii="宋体" w:hAnsi="宋体" w:eastAsia="宋体" w:cs="宋体"/>
                <w:b/>
                <w:bCs/>
                <w:sz w:val="20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Cs w:val="21"/>
              </w:rPr>
              <w:t>32</w:t>
            </w:r>
          </w:p>
        </w:tc>
        <w:tc>
          <w:tcPr>
            <w:tcW w:w="13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61F6BD6C">
            <w:pPr>
              <w:jc w:val="center"/>
              <w:rPr>
                <w:rFonts w:ascii="宋体" w:hAnsi="宋体" w:eastAsia="宋体" w:cs="宋体"/>
                <w:b/>
                <w:bCs/>
                <w:sz w:val="20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</w:rPr>
              <w:t>2</w:t>
            </w:r>
          </w:p>
        </w:tc>
      </w:tr>
      <w:tr w14:paraId="6D955E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9" w:hRule="atLeast"/>
          <w:jc w:val="center"/>
        </w:trPr>
        <w:tc>
          <w:tcPr>
            <w:tcW w:w="1844" w:type="dxa"/>
            <w:vMerge w:val="continue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364E5C6E">
            <w:pPr>
              <w:jc w:val="center"/>
              <w:rPr>
                <w:rFonts w:ascii="宋体" w:hAnsi="宋体" w:eastAsia="宋体" w:cs="宋体"/>
                <w:b/>
                <w:bCs/>
                <w:sz w:val="20"/>
                <w:szCs w:val="28"/>
              </w:rPr>
            </w:pPr>
          </w:p>
        </w:tc>
        <w:tc>
          <w:tcPr>
            <w:tcW w:w="136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44D4902E">
            <w:pPr>
              <w:jc w:val="center"/>
              <w:rPr>
                <w:rFonts w:ascii="宋体" w:hAnsi="宋体" w:eastAsia="宋体" w:cs="宋体"/>
                <w:b/>
                <w:bCs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</w:rPr>
              <w:t>12070712</w:t>
            </w:r>
          </w:p>
        </w:tc>
        <w:tc>
          <w:tcPr>
            <w:tcW w:w="37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376EF484">
            <w:pPr>
              <w:jc w:val="center"/>
              <w:rPr>
                <w:rFonts w:ascii="宋体" w:hAnsi="宋体" w:eastAsia="宋体" w:cs="宋体"/>
                <w:b/>
                <w:bCs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</w:rPr>
              <w:t>管理研究方法</w:t>
            </w:r>
          </w:p>
        </w:tc>
        <w:tc>
          <w:tcPr>
            <w:tcW w:w="8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0810478C">
            <w:pPr>
              <w:adjustRightInd w:val="0"/>
              <w:jc w:val="center"/>
              <w:textAlignment w:val="baseline"/>
              <w:rPr>
                <w:rFonts w:ascii="宋体" w:hAnsi="宋体" w:eastAsia="宋体" w:cs="宋体"/>
                <w:b/>
                <w:bCs/>
                <w:sz w:val="20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Cs w:val="21"/>
              </w:rPr>
              <w:t>32</w:t>
            </w:r>
          </w:p>
        </w:tc>
        <w:tc>
          <w:tcPr>
            <w:tcW w:w="13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02260630">
            <w:pPr>
              <w:jc w:val="center"/>
              <w:rPr>
                <w:rFonts w:ascii="宋体" w:hAnsi="宋体" w:eastAsia="宋体" w:cs="宋体"/>
                <w:b/>
                <w:bCs/>
                <w:sz w:val="20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</w:rPr>
              <w:t>2</w:t>
            </w:r>
          </w:p>
        </w:tc>
      </w:tr>
      <w:tr w14:paraId="25187D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  <w:jc w:val="center"/>
        </w:trPr>
        <w:tc>
          <w:tcPr>
            <w:tcW w:w="1844" w:type="dxa"/>
            <w:vMerge w:val="continue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25608972">
            <w:pPr>
              <w:jc w:val="center"/>
              <w:rPr>
                <w:rFonts w:ascii="宋体" w:hAnsi="宋体" w:eastAsia="宋体" w:cs="宋体"/>
                <w:b/>
                <w:bCs/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213F092B">
            <w:pPr>
              <w:jc w:val="center"/>
              <w:rPr>
                <w:rFonts w:ascii="宋体" w:hAnsi="宋体" w:eastAsia="宋体" w:cs="宋体"/>
                <w:b/>
                <w:bCs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</w:rPr>
              <w:t>12070317</w:t>
            </w:r>
          </w:p>
        </w:tc>
        <w:tc>
          <w:tcPr>
            <w:tcW w:w="37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527B5F98">
            <w:pPr>
              <w:jc w:val="center"/>
              <w:rPr>
                <w:rFonts w:ascii="宋体" w:hAnsi="宋体" w:eastAsia="宋体" w:cs="宋体"/>
                <w:b/>
                <w:bCs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</w:rPr>
              <w:t>统计分析方法</w:t>
            </w:r>
          </w:p>
        </w:tc>
        <w:tc>
          <w:tcPr>
            <w:tcW w:w="8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3D077FC4">
            <w:pPr>
              <w:adjustRightInd w:val="0"/>
              <w:jc w:val="center"/>
              <w:textAlignment w:val="baseline"/>
              <w:rPr>
                <w:rFonts w:ascii="宋体" w:hAnsi="宋体" w:eastAsia="宋体" w:cs="宋体"/>
                <w:b/>
                <w:bCs/>
                <w:sz w:val="20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Cs w:val="21"/>
              </w:rPr>
              <w:t>32</w:t>
            </w:r>
          </w:p>
        </w:tc>
        <w:tc>
          <w:tcPr>
            <w:tcW w:w="13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343F836B">
            <w:pPr>
              <w:jc w:val="center"/>
              <w:rPr>
                <w:rFonts w:ascii="宋体" w:hAnsi="宋体" w:eastAsia="宋体" w:cs="宋体"/>
                <w:b/>
                <w:bCs/>
                <w:sz w:val="20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</w:rPr>
              <w:t>2</w:t>
            </w:r>
          </w:p>
        </w:tc>
      </w:tr>
      <w:tr w14:paraId="1B9BB5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2" w:hRule="atLeast"/>
          <w:jc w:val="center"/>
        </w:trPr>
        <w:tc>
          <w:tcPr>
            <w:tcW w:w="1844" w:type="dxa"/>
            <w:vMerge w:val="continue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71C204BE">
            <w:pPr>
              <w:jc w:val="center"/>
              <w:rPr>
                <w:rFonts w:ascii="宋体" w:hAnsi="宋体" w:eastAsia="宋体" w:cs="宋体"/>
                <w:b/>
                <w:bCs/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3D3C2991">
            <w:pPr>
              <w:jc w:val="center"/>
              <w:rPr>
                <w:rFonts w:ascii="宋体" w:hAnsi="宋体" w:eastAsia="宋体" w:cs="宋体"/>
                <w:b/>
                <w:bCs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</w:rPr>
              <w:t>12070319</w:t>
            </w:r>
          </w:p>
        </w:tc>
        <w:tc>
          <w:tcPr>
            <w:tcW w:w="37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00FEE3C2">
            <w:pPr>
              <w:jc w:val="center"/>
              <w:rPr>
                <w:rFonts w:ascii="宋体" w:hAnsi="宋体" w:eastAsia="宋体" w:cs="宋体"/>
                <w:b/>
                <w:bCs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</w:rPr>
              <w:t>营销管理</w:t>
            </w:r>
          </w:p>
        </w:tc>
        <w:tc>
          <w:tcPr>
            <w:tcW w:w="8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4F44FDFB">
            <w:pPr>
              <w:adjustRightInd w:val="0"/>
              <w:jc w:val="center"/>
              <w:textAlignment w:val="baseline"/>
              <w:rPr>
                <w:rFonts w:ascii="宋体" w:hAnsi="宋体" w:eastAsia="宋体" w:cs="宋体"/>
                <w:b/>
                <w:bCs/>
                <w:sz w:val="20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Cs w:val="21"/>
              </w:rPr>
              <w:t>32</w:t>
            </w:r>
          </w:p>
        </w:tc>
        <w:tc>
          <w:tcPr>
            <w:tcW w:w="13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15D7B826">
            <w:pPr>
              <w:jc w:val="center"/>
              <w:rPr>
                <w:rFonts w:ascii="宋体" w:hAnsi="宋体" w:eastAsia="宋体" w:cs="宋体"/>
                <w:b/>
                <w:bCs/>
                <w:sz w:val="20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</w:rPr>
              <w:t>2</w:t>
            </w:r>
          </w:p>
        </w:tc>
      </w:tr>
      <w:tr w14:paraId="58E748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  <w:jc w:val="center"/>
        </w:trPr>
        <w:tc>
          <w:tcPr>
            <w:tcW w:w="1844" w:type="dxa"/>
            <w:vMerge w:val="continue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5BD4DE1D">
            <w:pPr>
              <w:jc w:val="center"/>
              <w:rPr>
                <w:rFonts w:ascii="宋体" w:hAnsi="宋体" w:eastAsia="宋体" w:cs="宋体"/>
                <w:b/>
                <w:bCs/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6472BFB3">
            <w:pPr>
              <w:jc w:val="center"/>
              <w:rPr>
                <w:rFonts w:ascii="宋体" w:hAnsi="宋体" w:eastAsia="宋体" w:cs="宋体"/>
                <w:b/>
                <w:bCs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</w:rPr>
              <w:t>12070714</w:t>
            </w:r>
          </w:p>
        </w:tc>
        <w:tc>
          <w:tcPr>
            <w:tcW w:w="37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26F9D1D1">
            <w:pPr>
              <w:jc w:val="center"/>
              <w:rPr>
                <w:rFonts w:ascii="宋体" w:hAnsi="宋体" w:eastAsia="宋体" w:cs="宋体"/>
                <w:b/>
                <w:bCs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  <w:shd w:val="clear" w:color="auto" w:fill="FFFFFF"/>
              </w:rPr>
              <w:t>战略管理</w:t>
            </w:r>
          </w:p>
        </w:tc>
        <w:tc>
          <w:tcPr>
            <w:tcW w:w="8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43AED8CB">
            <w:pPr>
              <w:adjustRightInd w:val="0"/>
              <w:jc w:val="center"/>
              <w:textAlignment w:val="baseline"/>
              <w:rPr>
                <w:rFonts w:ascii="宋体" w:hAnsi="宋体" w:eastAsia="宋体" w:cs="宋体"/>
                <w:b/>
                <w:bCs/>
                <w:sz w:val="20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Cs w:val="21"/>
              </w:rPr>
              <w:t>32</w:t>
            </w:r>
          </w:p>
        </w:tc>
        <w:tc>
          <w:tcPr>
            <w:tcW w:w="13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4C9743AD">
            <w:pPr>
              <w:jc w:val="center"/>
              <w:rPr>
                <w:rFonts w:ascii="宋体" w:hAnsi="宋体" w:eastAsia="宋体" w:cs="宋体"/>
                <w:b/>
                <w:bCs/>
                <w:sz w:val="20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</w:rPr>
              <w:t>2</w:t>
            </w:r>
          </w:p>
        </w:tc>
      </w:tr>
      <w:tr w14:paraId="1BABE5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  <w:jc w:val="center"/>
        </w:trPr>
        <w:tc>
          <w:tcPr>
            <w:tcW w:w="1844" w:type="dxa"/>
            <w:vMerge w:val="continue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00C362B2">
            <w:pPr>
              <w:jc w:val="center"/>
              <w:rPr>
                <w:rFonts w:ascii="宋体" w:hAnsi="宋体" w:eastAsia="宋体" w:cs="宋体"/>
                <w:b/>
                <w:bCs/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1E53F3BE">
            <w:pPr>
              <w:jc w:val="center"/>
              <w:rPr>
                <w:rFonts w:ascii="宋体" w:hAnsi="宋体" w:eastAsia="宋体" w:cs="宋体"/>
                <w:b/>
                <w:bCs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</w:rPr>
              <w:t>12070236</w:t>
            </w:r>
          </w:p>
        </w:tc>
        <w:tc>
          <w:tcPr>
            <w:tcW w:w="37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30F26A84">
            <w:pPr>
              <w:jc w:val="center"/>
              <w:rPr>
                <w:rFonts w:ascii="宋体" w:hAnsi="宋体" w:eastAsia="宋体" w:cs="宋体"/>
                <w:b/>
                <w:bCs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</w:rPr>
              <w:t>高级财务管理</w:t>
            </w:r>
          </w:p>
        </w:tc>
        <w:tc>
          <w:tcPr>
            <w:tcW w:w="8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382D6A61">
            <w:pPr>
              <w:adjustRightInd w:val="0"/>
              <w:jc w:val="center"/>
              <w:textAlignment w:val="baseline"/>
              <w:rPr>
                <w:rFonts w:ascii="宋体" w:hAnsi="宋体" w:eastAsia="宋体" w:cs="宋体"/>
                <w:b/>
                <w:bCs/>
                <w:sz w:val="20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Cs w:val="21"/>
              </w:rPr>
              <w:t>32</w:t>
            </w:r>
          </w:p>
        </w:tc>
        <w:tc>
          <w:tcPr>
            <w:tcW w:w="13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563FE7ED">
            <w:pPr>
              <w:jc w:val="center"/>
              <w:rPr>
                <w:rFonts w:ascii="宋体" w:hAnsi="宋体" w:eastAsia="宋体" w:cs="宋体"/>
                <w:b/>
                <w:bCs/>
                <w:sz w:val="20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</w:rPr>
              <w:t>2</w:t>
            </w:r>
          </w:p>
        </w:tc>
      </w:tr>
      <w:tr w14:paraId="7CB738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9" w:hRule="atLeast"/>
          <w:jc w:val="center"/>
        </w:trPr>
        <w:tc>
          <w:tcPr>
            <w:tcW w:w="1844" w:type="dxa"/>
            <w:vMerge w:val="continue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54E49C8B">
            <w:pPr>
              <w:jc w:val="center"/>
              <w:rPr>
                <w:rFonts w:ascii="宋体" w:hAnsi="宋体" w:eastAsia="宋体" w:cs="宋体"/>
                <w:b/>
                <w:bCs/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2108FB41">
            <w:pPr>
              <w:jc w:val="center"/>
              <w:rPr>
                <w:rFonts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</w:rPr>
              <w:t>12070713</w:t>
            </w:r>
          </w:p>
        </w:tc>
        <w:tc>
          <w:tcPr>
            <w:tcW w:w="37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35D1DDAA">
            <w:pPr>
              <w:jc w:val="center"/>
              <w:rPr>
                <w:rFonts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  <w:shd w:val="clear" w:color="auto" w:fill="FFFFFF"/>
              </w:rPr>
              <w:t>组织行为学</w:t>
            </w:r>
          </w:p>
        </w:tc>
        <w:tc>
          <w:tcPr>
            <w:tcW w:w="8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6892C13C">
            <w:pPr>
              <w:adjustRightInd w:val="0"/>
              <w:jc w:val="center"/>
              <w:textAlignment w:val="baseline"/>
              <w:rPr>
                <w:rFonts w:ascii="宋体" w:hAnsi="宋体" w:eastAsia="宋体" w:cs="宋体"/>
                <w:b/>
                <w:bCs/>
                <w:sz w:val="20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Cs w:val="21"/>
              </w:rPr>
              <w:t>32</w:t>
            </w:r>
          </w:p>
        </w:tc>
        <w:tc>
          <w:tcPr>
            <w:tcW w:w="13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7C0F633D">
            <w:pPr>
              <w:jc w:val="center"/>
              <w:rPr>
                <w:rFonts w:ascii="宋体" w:hAnsi="宋体" w:eastAsia="宋体" w:cs="宋体"/>
                <w:b/>
                <w:bCs/>
                <w:sz w:val="20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</w:rPr>
              <w:t>2</w:t>
            </w:r>
          </w:p>
        </w:tc>
      </w:tr>
      <w:tr w14:paraId="057566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9" w:hRule="atLeast"/>
          <w:jc w:val="center"/>
        </w:trPr>
        <w:tc>
          <w:tcPr>
            <w:tcW w:w="1844" w:type="dxa"/>
            <w:vMerge w:val="restart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77DEFE08">
            <w:pPr>
              <w:jc w:val="center"/>
              <w:rPr>
                <w:rFonts w:hint="eastAsia" w:ascii="宋体" w:hAnsi="宋体" w:eastAsia="宋体" w:cs="宋体"/>
                <w:b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</w:rPr>
              <w:t>专业限选课</w:t>
            </w:r>
          </w:p>
          <w:p w14:paraId="44A3045A">
            <w:pPr>
              <w:jc w:val="center"/>
              <w:rPr>
                <w:rFonts w:hint="eastAsia" w:ascii="宋体" w:hAnsi="宋体" w:eastAsia="宋体" w:cs="宋体"/>
                <w:b/>
                <w:bCs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b/>
                <w:bCs/>
                <w:szCs w:val="21"/>
                <w:lang w:val="en-US" w:eastAsia="zh-CN"/>
              </w:rPr>
              <w:t>企业管理方向</w:t>
            </w:r>
            <w:r>
              <w:rPr>
                <w:rFonts w:hint="eastAsia" w:ascii="宋体" w:hAnsi="宋体" w:eastAsia="宋体" w:cs="宋体"/>
                <w:b/>
                <w:bCs/>
                <w:szCs w:val="21"/>
                <w:lang w:eastAsia="zh-CN"/>
              </w:rPr>
              <w:t>）</w:t>
            </w:r>
          </w:p>
        </w:tc>
        <w:tc>
          <w:tcPr>
            <w:tcW w:w="136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71B1F386">
            <w:pPr>
              <w:jc w:val="center"/>
              <w:rPr>
                <w:rFonts w:ascii="宋体" w:hAnsi="宋体" w:eastAsia="宋体" w:cs="宋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</w:rPr>
              <w:t>12070715</w:t>
            </w:r>
          </w:p>
        </w:tc>
        <w:tc>
          <w:tcPr>
            <w:tcW w:w="37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398BB43E">
            <w:pPr>
              <w:jc w:val="center"/>
              <w:rPr>
                <w:rFonts w:ascii="宋体" w:hAnsi="宋体" w:eastAsia="宋体" w:cs="宋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</w:rPr>
              <w:t>人力资源管理</w:t>
            </w:r>
          </w:p>
        </w:tc>
        <w:tc>
          <w:tcPr>
            <w:tcW w:w="8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108CD1FE">
            <w:pPr>
              <w:adjustRightInd w:val="0"/>
              <w:jc w:val="center"/>
              <w:textAlignment w:val="baseline"/>
              <w:rPr>
                <w:rFonts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Cs w:val="21"/>
              </w:rPr>
              <w:t>32</w:t>
            </w:r>
          </w:p>
        </w:tc>
        <w:tc>
          <w:tcPr>
            <w:tcW w:w="13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44F91E94">
            <w:pPr>
              <w:jc w:val="center"/>
              <w:rPr>
                <w:rFonts w:ascii="宋体" w:hAnsi="宋体" w:eastAsia="宋体" w:cs="宋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</w:rPr>
              <w:t>2</w:t>
            </w:r>
          </w:p>
        </w:tc>
      </w:tr>
      <w:tr w14:paraId="3ABF5F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9" w:hRule="atLeast"/>
          <w:jc w:val="center"/>
        </w:trPr>
        <w:tc>
          <w:tcPr>
            <w:tcW w:w="1844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7F017F40">
            <w:pPr>
              <w:jc w:val="center"/>
              <w:rPr>
                <w:rFonts w:ascii="宋体" w:hAnsi="宋体" w:eastAsia="宋体" w:cs="宋体"/>
                <w:b/>
                <w:bCs/>
                <w:sz w:val="20"/>
                <w:szCs w:val="20"/>
              </w:rPr>
            </w:pPr>
          </w:p>
        </w:tc>
        <w:tc>
          <w:tcPr>
            <w:tcW w:w="1361" w:type="dxa"/>
            <w:shd w:val="clear" w:color="auto" w:fill="auto"/>
            <w:vAlign w:val="center"/>
          </w:tcPr>
          <w:p w14:paraId="4BDF9050">
            <w:pPr>
              <w:jc w:val="center"/>
              <w:rPr>
                <w:rFonts w:ascii="宋体" w:hAnsi="宋体" w:eastAsia="宋体" w:cs="宋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</w:rPr>
              <w:t>12070705</w:t>
            </w:r>
          </w:p>
        </w:tc>
        <w:tc>
          <w:tcPr>
            <w:tcW w:w="3794" w:type="dxa"/>
            <w:shd w:val="clear" w:color="auto" w:fill="auto"/>
            <w:vAlign w:val="center"/>
          </w:tcPr>
          <w:p w14:paraId="051C0110">
            <w:pPr>
              <w:jc w:val="center"/>
              <w:rPr>
                <w:rFonts w:ascii="宋体" w:hAnsi="宋体" w:eastAsia="宋体" w:cs="宋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</w:rPr>
              <w:t>企业领导方法与艺术</w:t>
            </w:r>
          </w:p>
        </w:tc>
        <w:tc>
          <w:tcPr>
            <w:tcW w:w="829" w:type="dxa"/>
            <w:shd w:val="clear" w:color="auto" w:fill="auto"/>
            <w:vAlign w:val="center"/>
          </w:tcPr>
          <w:p w14:paraId="03C1917E">
            <w:pPr>
              <w:adjustRightInd w:val="0"/>
              <w:jc w:val="center"/>
              <w:textAlignment w:val="baseline"/>
              <w:rPr>
                <w:rFonts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Cs w:val="21"/>
              </w:rPr>
              <w:t>32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76A3E571">
            <w:pPr>
              <w:jc w:val="center"/>
              <w:rPr>
                <w:rFonts w:ascii="宋体" w:hAnsi="宋体" w:eastAsia="宋体" w:cs="宋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</w:rPr>
              <w:t>2</w:t>
            </w:r>
          </w:p>
        </w:tc>
      </w:tr>
      <w:tr w14:paraId="47684B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7" w:hRule="atLeast"/>
          <w:jc w:val="center"/>
        </w:trPr>
        <w:tc>
          <w:tcPr>
            <w:tcW w:w="1844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10D01391">
            <w:pPr>
              <w:jc w:val="center"/>
              <w:rPr>
                <w:rFonts w:ascii="宋体" w:hAnsi="宋体" w:eastAsia="宋体" w:cs="宋体"/>
                <w:b/>
                <w:bCs/>
                <w:sz w:val="20"/>
                <w:szCs w:val="20"/>
              </w:rPr>
            </w:pPr>
          </w:p>
        </w:tc>
        <w:tc>
          <w:tcPr>
            <w:tcW w:w="1361" w:type="dxa"/>
            <w:shd w:val="clear" w:color="auto" w:fill="auto"/>
            <w:vAlign w:val="center"/>
          </w:tcPr>
          <w:p w14:paraId="26EC1252">
            <w:pPr>
              <w:jc w:val="center"/>
              <w:rPr>
                <w:rFonts w:ascii="宋体" w:hAnsi="宋体" w:eastAsia="宋体" w:cs="宋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</w:rPr>
              <w:t>12070742</w:t>
            </w:r>
          </w:p>
        </w:tc>
        <w:tc>
          <w:tcPr>
            <w:tcW w:w="3794" w:type="dxa"/>
            <w:shd w:val="clear" w:color="auto" w:fill="auto"/>
            <w:vAlign w:val="center"/>
          </w:tcPr>
          <w:p w14:paraId="6BEF073A">
            <w:pPr>
              <w:jc w:val="center"/>
              <w:rPr>
                <w:rFonts w:ascii="宋体" w:hAnsi="宋体" w:eastAsia="宋体" w:cs="宋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</w:rPr>
              <w:t>企业管理专题</w:t>
            </w:r>
          </w:p>
        </w:tc>
        <w:tc>
          <w:tcPr>
            <w:tcW w:w="829" w:type="dxa"/>
            <w:shd w:val="clear" w:color="auto" w:fill="auto"/>
            <w:vAlign w:val="center"/>
          </w:tcPr>
          <w:p w14:paraId="0FF64C87">
            <w:pPr>
              <w:adjustRightInd w:val="0"/>
              <w:jc w:val="center"/>
              <w:textAlignment w:val="baseline"/>
              <w:rPr>
                <w:rFonts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Cs w:val="21"/>
              </w:rPr>
              <w:t>16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334A9740">
            <w:pPr>
              <w:jc w:val="center"/>
              <w:rPr>
                <w:rFonts w:ascii="宋体" w:hAnsi="宋体" w:eastAsia="宋体" w:cs="宋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</w:rPr>
              <w:t>1</w:t>
            </w:r>
          </w:p>
        </w:tc>
      </w:tr>
      <w:tr w14:paraId="79D298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1844" w:type="dxa"/>
            <w:vMerge w:val="restart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9EAE38">
            <w:pPr>
              <w:jc w:val="center"/>
              <w:rPr>
                <w:rFonts w:hint="eastAsia" w:ascii="宋体" w:hAnsi="宋体" w:eastAsia="宋体" w:cs="宋体"/>
                <w:b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</w:rPr>
              <w:t>专业限选课</w:t>
            </w:r>
          </w:p>
          <w:p w14:paraId="63BABD4D">
            <w:pPr>
              <w:jc w:val="center"/>
              <w:rPr>
                <w:rFonts w:ascii="宋体" w:hAnsi="宋体" w:eastAsia="宋体" w:cs="宋体"/>
                <w:b/>
                <w:bCs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b/>
                <w:bCs/>
                <w:szCs w:val="21"/>
                <w:lang w:val="en-US" w:eastAsia="zh-CN"/>
              </w:rPr>
              <w:t>会计学方向</w:t>
            </w:r>
            <w:r>
              <w:rPr>
                <w:rFonts w:hint="eastAsia" w:ascii="宋体" w:hAnsi="宋体" w:eastAsia="宋体" w:cs="宋体"/>
                <w:b/>
                <w:bCs/>
                <w:szCs w:val="21"/>
                <w:lang w:eastAsia="zh-CN"/>
              </w:rPr>
              <w:t>）</w:t>
            </w:r>
          </w:p>
        </w:tc>
        <w:tc>
          <w:tcPr>
            <w:tcW w:w="1361" w:type="dxa"/>
            <w:shd w:val="clear" w:color="auto" w:fill="auto"/>
            <w:vAlign w:val="center"/>
          </w:tcPr>
          <w:p w14:paraId="4C5AB070">
            <w:pPr>
              <w:jc w:val="center"/>
              <w:rPr>
                <w:rFonts w:hint="eastAsia" w:ascii="宋体" w:hAnsi="宋体" w:eastAsia="宋体" w:cs="宋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</w:rPr>
              <w:t>12070235</w:t>
            </w:r>
          </w:p>
        </w:tc>
        <w:tc>
          <w:tcPr>
            <w:tcW w:w="3794" w:type="dxa"/>
            <w:shd w:val="clear" w:color="auto" w:fill="auto"/>
            <w:vAlign w:val="center"/>
          </w:tcPr>
          <w:p w14:paraId="0ADFFCC2">
            <w:pPr>
              <w:jc w:val="center"/>
              <w:rPr>
                <w:rFonts w:hint="eastAsia" w:ascii="宋体" w:hAnsi="宋体" w:eastAsia="宋体" w:cs="宋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</w:rPr>
              <w:t>高级财务会计</w:t>
            </w:r>
          </w:p>
        </w:tc>
        <w:tc>
          <w:tcPr>
            <w:tcW w:w="829" w:type="dxa"/>
            <w:shd w:val="clear" w:color="auto" w:fill="auto"/>
            <w:vAlign w:val="center"/>
          </w:tcPr>
          <w:p w14:paraId="53C9A965">
            <w:pPr>
              <w:adjustRightInd w:val="0"/>
              <w:jc w:val="center"/>
              <w:textAlignment w:val="baseline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Cs w:val="21"/>
              </w:rPr>
              <w:t>32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5E72A621">
            <w:pPr>
              <w:jc w:val="center"/>
              <w:rPr>
                <w:rFonts w:hint="eastAsia" w:ascii="宋体" w:hAnsi="宋体" w:eastAsia="宋体" w:cs="宋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</w:rPr>
              <w:t>2</w:t>
            </w:r>
          </w:p>
        </w:tc>
      </w:tr>
      <w:tr w14:paraId="59A241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3" w:hRule="atLeast"/>
          <w:jc w:val="center"/>
        </w:trPr>
        <w:tc>
          <w:tcPr>
            <w:tcW w:w="1844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3AA5BEB7">
            <w:pPr>
              <w:jc w:val="center"/>
              <w:rPr>
                <w:rFonts w:ascii="宋体" w:hAnsi="宋体" w:eastAsia="宋体" w:cs="宋体"/>
                <w:b/>
                <w:bCs/>
                <w:sz w:val="20"/>
                <w:szCs w:val="20"/>
              </w:rPr>
            </w:pPr>
          </w:p>
        </w:tc>
        <w:tc>
          <w:tcPr>
            <w:tcW w:w="1361" w:type="dxa"/>
            <w:shd w:val="clear" w:color="auto" w:fill="auto"/>
            <w:vAlign w:val="center"/>
          </w:tcPr>
          <w:p w14:paraId="46417623">
            <w:pPr>
              <w:jc w:val="center"/>
              <w:rPr>
                <w:rFonts w:hint="eastAsia" w:ascii="宋体" w:hAnsi="宋体" w:eastAsia="宋体" w:cs="宋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</w:rPr>
              <w:t>12070234</w:t>
            </w:r>
          </w:p>
        </w:tc>
        <w:tc>
          <w:tcPr>
            <w:tcW w:w="3794" w:type="dxa"/>
            <w:shd w:val="clear" w:color="auto" w:fill="auto"/>
            <w:vAlign w:val="center"/>
          </w:tcPr>
          <w:p w14:paraId="29A0908C">
            <w:pPr>
              <w:jc w:val="center"/>
              <w:rPr>
                <w:rFonts w:hint="eastAsia" w:ascii="宋体" w:hAnsi="宋体" w:eastAsia="宋体" w:cs="宋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</w:rPr>
              <w:t>财务报表分析</w:t>
            </w:r>
          </w:p>
        </w:tc>
        <w:tc>
          <w:tcPr>
            <w:tcW w:w="829" w:type="dxa"/>
            <w:shd w:val="clear" w:color="auto" w:fill="auto"/>
            <w:vAlign w:val="center"/>
          </w:tcPr>
          <w:p w14:paraId="163B53D3">
            <w:pPr>
              <w:adjustRightInd w:val="0"/>
              <w:jc w:val="center"/>
              <w:textAlignment w:val="baseline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Cs w:val="21"/>
              </w:rPr>
              <w:t>32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4A1C8652">
            <w:pPr>
              <w:jc w:val="center"/>
              <w:rPr>
                <w:rFonts w:hint="eastAsia" w:ascii="宋体" w:hAnsi="宋体" w:eastAsia="宋体" w:cs="宋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</w:rPr>
              <w:t>2</w:t>
            </w:r>
          </w:p>
        </w:tc>
      </w:tr>
      <w:tr w14:paraId="370C82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3" w:hRule="atLeast"/>
          <w:jc w:val="center"/>
        </w:trPr>
        <w:tc>
          <w:tcPr>
            <w:tcW w:w="1844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093F56DB">
            <w:pPr>
              <w:jc w:val="center"/>
              <w:rPr>
                <w:rFonts w:ascii="宋体" w:hAnsi="宋体" w:eastAsia="宋体" w:cs="宋体"/>
                <w:b/>
                <w:bCs/>
                <w:sz w:val="20"/>
                <w:szCs w:val="20"/>
              </w:rPr>
            </w:pPr>
          </w:p>
        </w:tc>
        <w:tc>
          <w:tcPr>
            <w:tcW w:w="1361" w:type="dxa"/>
            <w:shd w:val="clear" w:color="auto" w:fill="auto"/>
            <w:vAlign w:val="center"/>
          </w:tcPr>
          <w:p w14:paraId="0C5A492D">
            <w:pPr>
              <w:jc w:val="center"/>
              <w:rPr>
                <w:rFonts w:hint="eastAsia" w:ascii="宋体" w:hAnsi="宋体" w:eastAsia="宋体" w:cs="宋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</w:rPr>
              <w:t>12070241</w:t>
            </w:r>
          </w:p>
        </w:tc>
        <w:tc>
          <w:tcPr>
            <w:tcW w:w="3794" w:type="dxa"/>
            <w:shd w:val="clear" w:color="auto" w:fill="auto"/>
            <w:vAlign w:val="center"/>
          </w:tcPr>
          <w:p w14:paraId="49D5223E">
            <w:pPr>
              <w:jc w:val="center"/>
              <w:rPr>
                <w:rFonts w:hint="eastAsia" w:ascii="宋体" w:hAnsi="宋体" w:eastAsia="宋体" w:cs="宋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</w:rPr>
              <w:t>财务会计专题</w:t>
            </w:r>
          </w:p>
        </w:tc>
        <w:tc>
          <w:tcPr>
            <w:tcW w:w="829" w:type="dxa"/>
            <w:shd w:val="clear" w:color="auto" w:fill="auto"/>
            <w:vAlign w:val="center"/>
          </w:tcPr>
          <w:p w14:paraId="6FCBC5B5">
            <w:pPr>
              <w:adjustRightInd w:val="0"/>
              <w:jc w:val="center"/>
              <w:textAlignment w:val="baseline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Cs w:val="21"/>
              </w:rPr>
              <w:t>16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00AA6C38">
            <w:pPr>
              <w:jc w:val="center"/>
              <w:rPr>
                <w:rFonts w:hint="eastAsia" w:ascii="宋体" w:hAnsi="宋体" w:eastAsia="宋体" w:cs="宋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</w:rPr>
              <w:t>1</w:t>
            </w:r>
          </w:p>
        </w:tc>
      </w:tr>
    </w:tbl>
    <w:p w14:paraId="12F39A9A">
      <w:pPr>
        <w:spacing w:line="15" w:lineRule="auto"/>
        <w:rPr>
          <w:b/>
          <w:bCs/>
          <w:sz w:val="28"/>
          <w:szCs w:val="28"/>
        </w:rPr>
      </w:pPr>
    </w:p>
    <w:p w14:paraId="1F372578">
      <w:pPr>
        <w:numPr>
          <w:ilvl w:val="0"/>
          <w:numId w:val="1"/>
        </w:numPr>
        <w:spacing w:line="15" w:lineRule="auto"/>
        <w:ind w:left="0" w:leftChars="0" w:firstLine="0" w:firstLineChars="0"/>
        <w:rPr>
          <w:rFonts w:hint="default" w:eastAsiaTheme="minorEastAsia"/>
          <w:b/>
          <w:bCs/>
          <w:sz w:val="28"/>
          <w:szCs w:val="28"/>
          <w:lang w:val="en-US" w:eastAsia="zh-CN"/>
        </w:rPr>
      </w:pPr>
      <w:r>
        <w:rPr>
          <w:rFonts w:hint="eastAsia" w:asciiTheme="minorHAnsi" w:eastAsiaTheme="minorEastAsia"/>
          <w:b/>
          <w:bCs/>
          <w:sz w:val="28"/>
          <w:szCs w:val="28"/>
          <w:lang w:val="en-US" w:eastAsia="zh-CN"/>
        </w:rPr>
        <w:t>证书颁发及学位授予</w:t>
      </w:r>
    </w:p>
    <w:p w14:paraId="5CBF2173">
      <w:pPr>
        <w:numPr>
          <w:ilvl w:val="0"/>
          <w:numId w:val="5"/>
        </w:numPr>
        <w:spacing w:line="360" w:lineRule="auto"/>
        <w:ind w:left="425" w:leftChars="0" w:hanging="425" w:firstLineChars="0"/>
        <w:rPr>
          <w:rFonts w:ascii="Times New Roman" w:hAnsi="Times New Roman"/>
          <w:sz w:val="24"/>
        </w:rPr>
      </w:pPr>
      <w:r>
        <w:rPr>
          <w:rFonts w:hint="eastAsia" w:ascii="Times New Roman" w:hAnsi="Times New Roman"/>
          <w:sz w:val="24"/>
        </w:rPr>
        <w:t>学员修完所申请专业培养方案规定的课程，且考试成绩合格者，可获得</w:t>
      </w:r>
      <w:r>
        <w:rPr>
          <w:rFonts w:hint="eastAsia" w:ascii="Times New Roman" w:hAnsi="Times New Roman"/>
          <w:color w:val="auto"/>
          <w:sz w:val="24"/>
        </w:rPr>
        <w:t>结业证书</w:t>
      </w:r>
      <w:r>
        <w:rPr>
          <w:rFonts w:hint="eastAsia" w:ascii="Times New Roman" w:hAnsi="Times New Roman"/>
          <w:sz w:val="24"/>
        </w:rPr>
        <w:t>或成绩证明。</w:t>
      </w:r>
    </w:p>
    <w:p w14:paraId="61016998">
      <w:pPr>
        <w:numPr>
          <w:ilvl w:val="0"/>
          <w:numId w:val="5"/>
        </w:numPr>
        <w:spacing w:line="360" w:lineRule="auto"/>
        <w:ind w:left="425" w:leftChars="0" w:hanging="425" w:firstLineChars="0"/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fill="FFFFFF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fill="FFFFFF"/>
        </w:rPr>
        <w:t>申请人通过同等学力水平认定，论文答辩获得通过，经学位分委员会同意，报校学位委员会审议批准，授予硕士学位并颁发学位证书。</w:t>
      </w:r>
    </w:p>
    <w:p w14:paraId="5AB23963">
      <w:pPr>
        <w:numPr>
          <w:ilvl w:val="0"/>
          <w:numId w:val="5"/>
        </w:numPr>
        <w:spacing w:line="360" w:lineRule="auto"/>
        <w:ind w:left="425" w:leftChars="0" w:hanging="425" w:firstLineChars="0"/>
        <w:rPr>
          <w:rFonts w:hint="eastAsia" w:ascii="Times New Roman" w:hAnsi="Times New Roman" w:eastAsiaTheme="minorEastAsia"/>
          <w:sz w:val="24"/>
          <w:lang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fill="FFFFFF"/>
        </w:rPr>
        <w:t>有关学位申请、论文答辩、学位授予的具体要求按最新公布的《国务院学位委员会关于授予具有研究生毕业同等学力人员硕士、博士学位的规定》和《东华理工大学同等学力人员硕士学位授予办法》、《东华理工大学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fill="FFFFFF"/>
          <w:lang w:val="en-US" w:eastAsia="zh-CN"/>
        </w:rPr>
        <w:t>经济与管理学院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fill="FFFFFF"/>
        </w:rPr>
        <w:t>同等学力人员申请学位对创新成果基本要求的规定》执行。</w:t>
      </w:r>
    </w:p>
    <w:p w14:paraId="6337CC2B">
      <w:pPr>
        <w:spacing w:line="0" w:lineRule="atLeast"/>
        <w:rPr>
          <w:rFonts w:hint="eastAsia"/>
          <w:b/>
          <w:bCs/>
          <w:sz w:val="28"/>
          <w:szCs w:val="28"/>
        </w:rPr>
      </w:pPr>
    </w:p>
    <w:p w14:paraId="15538C25">
      <w:pPr>
        <w:numPr>
          <w:ilvl w:val="0"/>
          <w:numId w:val="1"/>
        </w:numPr>
        <w:spacing w:line="0" w:lineRule="atLeast"/>
        <w:ind w:left="0" w:leftChars="0" w:firstLine="0" w:firstLineChars="0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其他事项</w:t>
      </w:r>
    </w:p>
    <w:p w14:paraId="2B4960BC">
      <w:pPr>
        <w:keepNext w:val="0"/>
        <w:keepLines w:val="0"/>
        <w:pageBreakBefore w:val="0"/>
        <w:widowControl/>
        <w:numPr>
          <w:ilvl w:val="0"/>
          <w:numId w:val="6"/>
        </w:numPr>
        <w:shd w:val="clear" w:color="auto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5" w:leftChars="0" w:hanging="425" w:firstLineChars="0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>申请人提交的毕业证书、学位证书、论文、专著等必须真实有效，凡弄虚作假者，一经查实，立即取消申请资格。</w:t>
      </w:r>
    </w:p>
    <w:p w14:paraId="79AB082A">
      <w:pPr>
        <w:keepNext w:val="0"/>
        <w:keepLines w:val="0"/>
        <w:pageBreakBefore w:val="0"/>
        <w:widowControl/>
        <w:numPr>
          <w:ilvl w:val="0"/>
          <w:numId w:val="6"/>
        </w:numPr>
        <w:shd w:val="clear" w:color="auto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5" w:leftChars="0" w:hanging="425" w:firstLineChars="0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>申请人因个人原因中止学习，不再申请硕士学位，须由本人向所属学院（学部）提交中止学习申请书，所属学院（学部）批准后办理相关手续，但所交费用不予退还。</w:t>
      </w:r>
    </w:p>
    <w:p w14:paraId="79AA1F13">
      <w:pPr>
        <w:keepNext w:val="0"/>
        <w:keepLines w:val="0"/>
        <w:pageBreakBefore w:val="0"/>
        <w:widowControl/>
        <w:numPr>
          <w:ilvl w:val="0"/>
          <w:numId w:val="6"/>
        </w:numPr>
        <w:shd w:val="clear" w:color="auto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5" w:leftChars="0" w:hanging="425" w:firstLineChars="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kern w:val="0"/>
          <w:sz w:val="24"/>
          <w:szCs w:val="24"/>
          <w:highlight w:val="none"/>
          <w:shd w:val="clear" w:fill="FFFFFF"/>
          <w:lang w:val="zh-CN" w:bidi="zh-CN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>学习期间的书籍资料费、学位论文打印费、参加考试和论文答辩的差旅、食宿等其它费用自理。</w:t>
      </w:r>
    </w:p>
    <w:p w14:paraId="14C1544B">
      <w:pPr>
        <w:keepNext w:val="0"/>
        <w:keepLines w:val="0"/>
        <w:pageBreakBefore w:val="0"/>
        <w:widowControl w:val="0"/>
        <w:numPr>
          <w:ilvl w:val="0"/>
          <w:numId w:val="6"/>
        </w:numP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5" w:leftChars="0" w:hanging="425" w:firstLineChars="0"/>
        <w:textAlignment w:val="auto"/>
        <w:rPr>
          <w:rFonts w:hint="eastAsia" w:ascii="Times New Roman" w:hAnsi="Times New Roman"/>
          <w:sz w:val="24"/>
          <w:lang w:eastAsia="zh-CN"/>
        </w:rPr>
      </w:pPr>
      <w:r>
        <w:rPr>
          <w:rFonts w:hint="eastAsia" w:ascii="Times New Roman" w:hAnsi="Times New Roman"/>
          <w:sz w:val="24"/>
        </w:rPr>
        <w:t>自本简章发布到资格复核前，如遇国家政策变动，以最新国家政策为准。本简章未尽事宜由</w:t>
      </w:r>
      <w:r>
        <w:rPr>
          <w:rFonts w:hint="eastAsia" w:ascii="Times New Roman" w:hAnsi="Times New Roman"/>
          <w:sz w:val="24"/>
          <w:lang w:val="en-US" w:eastAsia="zh-CN"/>
        </w:rPr>
        <w:t>东华理工</w:t>
      </w:r>
      <w:r>
        <w:rPr>
          <w:rFonts w:hint="eastAsia" w:ascii="Times New Roman" w:hAnsi="Times New Roman"/>
          <w:sz w:val="24"/>
        </w:rPr>
        <w:t>大学负责解释。</w:t>
      </w:r>
    </w:p>
    <w:p w14:paraId="4697EA71">
      <w:pPr>
        <w:tabs>
          <w:tab w:val="left" w:pos="7692"/>
        </w:tabs>
        <w:spacing w:line="360" w:lineRule="auto"/>
        <w:rPr>
          <w:rFonts w:ascii="Times New Roman" w:hAnsi="Times New Roman"/>
          <w:sz w:val="24"/>
        </w:rPr>
      </w:pPr>
    </w:p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3F6309F">
    <w:pPr>
      <w:pStyle w:val="4"/>
      <w:rPr>
        <w:rFonts w:ascii="宋体" w:hAnsi="宋体" w:eastAsia="宋体" w:cs="宋体"/>
        <w:sz w:val="20"/>
        <w:szCs w:val="20"/>
      </w:rPr>
    </w:pPr>
  </w:p>
  <w:p w14:paraId="30AE7683">
    <w:pPr>
      <w:pStyle w:val="4"/>
      <w:ind w:firstLine="4230" w:firstLineChars="2350"/>
    </w:pPr>
    <w:r>
      <w:drawing>
        <wp:anchor distT="0" distB="0" distL="114300" distR="114300" simplePos="0" relativeHeight="251659264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5274310" cy="5377180"/>
          <wp:effectExtent l="0" t="0" r="0" b="13970"/>
          <wp:wrapNone/>
          <wp:docPr id="4" name="WordPictureWatermark31754" descr="东华理工大学校徽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WordPictureWatermark31754" descr="东华理工大学校徽"/>
                  <pic:cNvPicPr>
                    <a:picLocks noChangeAspect="1"/>
                  </pic:cNvPicPr>
                </pic:nvPicPr>
                <pic:blipFill>
                  <a:blip r:embed="rId1">
                    <a:lum bright="69998" contrast="-70001"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274310" cy="53771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hint="eastAsia" w:ascii="宋体" w:hAnsi="宋体" w:eastAsia="宋体" w:cs="宋体"/>
        <w:sz w:val="20"/>
        <w:szCs w:val="20"/>
      </w:rPr>
      <w:t>东华理工大学会计学专业研修课程招生简章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05C2FAC"/>
    <w:multiLevelType w:val="singleLevel"/>
    <w:tmpl w:val="905C2FAC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1">
    <w:nsid w:val="B061AF82"/>
    <w:multiLevelType w:val="singleLevel"/>
    <w:tmpl w:val="B061AF82"/>
    <w:lvl w:ilvl="0" w:tentative="0">
      <w:start w:val="1"/>
      <w:numFmt w:val="chineseCounting"/>
      <w:suff w:val="nothing"/>
      <w:lvlText w:val="%1、"/>
      <w:lvlJc w:val="left"/>
      <w:pPr>
        <w:ind w:left="0" w:firstLine="0"/>
      </w:pPr>
      <w:rPr>
        <w:rFonts w:hint="eastAsia"/>
      </w:rPr>
    </w:lvl>
  </w:abstractNum>
  <w:abstractNum w:abstractNumId="2">
    <w:nsid w:val="E3DA2203"/>
    <w:multiLevelType w:val="singleLevel"/>
    <w:tmpl w:val="E3DA2203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3">
    <w:nsid w:val="2E96BD98"/>
    <w:multiLevelType w:val="singleLevel"/>
    <w:tmpl w:val="2E96BD98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4">
    <w:nsid w:val="5EDAA4DF"/>
    <w:multiLevelType w:val="singleLevel"/>
    <w:tmpl w:val="5EDAA4DF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5">
    <w:nsid w:val="77137229"/>
    <w:multiLevelType w:val="singleLevel"/>
    <w:tmpl w:val="77137229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3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NotDisplayPageBoundaries w:val="1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lmNzgyMTgzYzNjNmM2ODI5ZDMzOGVjYjkyZWVmZWEifQ=="/>
  </w:docVars>
  <w:rsids>
    <w:rsidRoot w:val="64234F32"/>
    <w:rsid w:val="00270B4B"/>
    <w:rsid w:val="009D0960"/>
    <w:rsid w:val="00D742EF"/>
    <w:rsid w:val="00E5237D"/>
    <w:rsid w:val="00E66034"/>
    <w:rsid w:val="00EB653E"/>
    <w:rsid w:val="00FB2A42"/>
    <w:rsid w:val="1FD4260E"/>
    <w:rsid w:val="208C2D42"/>
    <w:rsid w:val="242F29C1"/>
    <w:rsid w:val="29C01E9E"/>
    <w:rsid w:val="2A16554E"/>
    <w:rsid w:val="326023CD"/>
    <w:rsid w:val="39B31A45"/>
    <w:rsid w:val="3AEC3E8A"/>
    <w:rsid w:val="45B759E4"/>
    <w:rsid w:val="479C42D7"/>
    <w:rsid w:val="487F07CC"/>
    <w:rsid w:val="4B347DE6"/>
    <w:rsid w:val="4BD85BE8"/>
    <w:rsid w:val="4BDB7C4B"/>
    <w:rsid w:val="4C0E10FA"/>
    <w:rsid w:val="4FE81E0F"/>
    <w:rsid w:val="526E67B0"/>
    <w:rsid w:val="61061073"/>
    <w:rsid w:val="628511E7"/>
    <w:rsid w:val="64234F32"/>
    <w:rsid w:val="6C9D26A4"/>
    <w:rsid w:val="715865B3"/>
    <w:rsid w:val="71931C8C"/>
    <w:rsid w:val="7890503B"/>
    <w:rsid w:val="7D8015FD"/>
    <w:rsid w:val="7F22298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qFormat/>
    <w:uiPriority w:val="0"/>
    <w:rPr>
      <w:sz w:val="18"/>
      <w:szCs w:val="18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5">
    <w:name w:val="Normal (Web)"/>
    <w:basedOn w:val="1"/>
    <w:qFormat/>
    <w:uiPriority w:val="99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8">
    <w:name w:val="Strong"/>
    <w:basedOn w:val="7"/>
    <w:qFormat/>
    <w:uiPriority w:val="22"/>
    <w:rPr>
      <w:b/>
    </w:rPr>
  </w:style>
  <w:style w:type="paragraph" w:customStyle="1" w:styleId="9">
    <w:name w:val="cjk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  <w:style w:type="paragraph" w:styleId="10">
    <w:name w:val="List Paragraph"/>
    <w:basedOn w:val="1"/>
    <w:qFormat/>
    <w:uiPriority w:val="99"/>
    <w:pPr>
      <w:ind w:firstLine="420" w:firstLineChars="200"/>
    </w:pPr>
  </w:style>
  <w:style w:type="character" w:customStyle="1" w:styleId="11">
    <w:name w:val="批注框文本 字符"/>
    <w:basedOn w:val="7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P R C</Company>
  <Pages>5</Pages>
  <Words>2164</Words>
  <Characters>2210</Characters>
  <Lines>19</Lines>
  <Paragraphs>5</Paragraphs>
  <TotalTime>2</TotalTime>
  <ScaleCrop>false</ScaleCrop>
  <LinksUpToDate>false</LinksUpToDate>
  <CharactersWithSpaces>2252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2021-07-08T15:57:00Z</dcterms:created>
  <dc:creator>Admin</dc:creator>
  <cp:lastModifiedBy>朱朱</cp:lastModifiedBy>
  <cp:lastPrinted>2021-11-11T05:20:00Z</cp:lastPrinted>
  <dcterms:modified xsi:type="dcterms:W3CDTF">2025-03-30T09:33:30Z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7CB36F75005A4D37BE6DEEAFAA71663F</vt:lpwstr>
  </property>
  <property fmtid="{D5CDD505-2E9C-101B-9397-08002B2CF9AE}" pid="4" name="KSOTemplateDocerSaveRecord">
    <vt:lpwstr>eyJoZGlkIjoiOTlmNzgyMTgzYzNjNmM2ODI5ZDMzOGVjYjkyZWVmZWEiLCJ1c2VySWQiOiI2NjE2NDY2MzgifQ==</vt:lpwstr>
  </property>
</Properties>
</file>